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0EDCD" w14:textId="77777777" w:rsidR="0077467A" w:rsidRPr="0077467A" w:rsidRDefault="0077467A" w:rsidP="0077467A">
      <w:pPr>
        <w:spacing w:after="240" w:line="240" w:lineRule="auto"/>
        <w:rPr>
          <w:b/>
          <w:smallCaps/>
          <w:sz w:val="32"/>
          <w:szCs w:val="32"/>
          <w:lang w:val="en-US"/>
        </w:rPr>
      </w:pPr>
      <w:r w:rsidRPr="0077467A">
        <w:rPr>
          <w:b/>
          <w:smallCaps/>
          <w:sz w:val="32"/>
          <w:szCs w:val="32"/>
          <w:lang w:val="en-US"/>
        </w:rPr>
        <w:t>DESIGNING THE CASE FOLDERS</w:t>
      </w:r>
    </w:p>
    <w:p w14:paraId="756C8951" w14:textId="272BD498" w:rsidR="0077467A" w:rsidRDefault="0077467A" w:rsidP="008D6D8F">
      <w:pPr>
        <w:spacing w:after="0" w:line="240" w:lineRule="auto"/>
        <w:rPr>
          <w:sz w:val="22"/>
          <w:szCs w:val="22"/>
          <w:lang w:val="en-US"/>
        </w:rPr>
      </w:pPr>
      <w:r w:rsidRPr="0077467A">
        <w:rPr>
          <w:sz w:val="22"/>
          <w:szCs w:val="22"/>
          <w:lang w:val="en-US"/>
        </w:rPr>
        <w:t xml:space="preserve">Use this guide to help prepare the Case Folders used in the Explain and Extend sections of the “Crime Solving Insects” lesson. While there are only four different cases (one being used as a whole-class model), you may wish to make multiple copies of each </w:t>
      </w:r>
      <w:r>
        <w:rPr>
          <w:sz w:val="22"/>
          <w:szCs w:val="22"/>
          <w:lang w:val="en-US"/>
        </w:rPr>
        <w:t xml:space="preserve">CASE </w:t>
      </w:r>
      <w:r w:rsidRPr="0077467A">
        <w:rPr>
          <w:sz w:val="22"/>
          <w:szCs w:val="22"/>
          <w:lang w:val="en-US"/>
        </w:rPr>
        <w:t xml:space="preserve">depending on your class </w:t>
      </w:r>
      <w:r>
        <w:rPr>
          <w:sz w:val="22"/>
          <w:szCs w:val="22"/>
          <w:lang w:val="en-US"/>
        </w:rPr>
        <w:t>size.</w:t>
      </w:r>
    </w:p>
    <w:p w14:paraId="45379678" w14:textId="77777777" w:rsidR="008D6D8F" w:rsidRPr="0077467A" w:rsidRDefault="008D6D8F" w:rsidP="008D6D8F">
      <w:pPr>
        <w:spacing w:after="0" w:line="276" w:lineRule="auto"/>
        <w:rPr>
          <w:b/>
          <w:color w:val="910D28"/>
          <w:sz w:val="22"/>
          <w:szCs w:val="22"/>
          <w:lang w:val="en-US"/>
        </w:rPr>
      </w:pPr>
    </w:p>
    <w:p w14:paraId="5FDCEED8" w14:textId="77777777" w:rsidR="0077467A" w:rsidRPr="0077467A" w:rsidRDefault="0077467A" w:rsidP="0077467A">
      <w:pPr>
        <w:numPr>
          <w:ilvl w:val="0"/>
          <w:numId w:val="1"/>
        </w:numPr>
        <w:spacing w:after="120" w:line="276" w:lineRule="auto"/>
        <w:contextualSpacing/>
        <w:rPr>
          <w:sz w:val="22"/>
          <w:szCs w:val="22"/>
          <w:lang w:val="en-US"/>
        </w:rPr>
      </w:pPr>
      <w:r w:rsidRPr="0077467A">
        <w:rPr>
          <w:sz w:val="22"/>
          <w:szCs w:val="22"/>
          <w:lang w:val="en-US"/>
        </w:rPr>
        <w:t>Case Resources handout (attached; pages 2-3; one per folder)</w:t>
      </w:r>
    </w:p>
    <w:p w14:paraId="39C3CF94" w14:textId="77777777" w:rsidR="0077467A" w:rsidRPr="0077467A" w:rsidRDefault="0077467A" w:rsidP="0077467A">
      <w:pPr>
        <w:numPr>
          <w:ilvl w:val="0"/>
          <w:numId w:val="1"/>
        </w:numPr>
        <w:spacing w:after="120" w:line="276" w:lineRule="auto"/>
        <w:contextualSpacing/>
        <w:rPr>
          <w:sz w:val="22"/>
          <w:szCs w:val="22"/>
          <w:lang w:val="en-US"/>
        </w:rPr>
      </w:pPr>
      <w:r w:rsidRPr="0077467A">
        <w:rPr>
          <w:sz w:val="22"/>
          <w:szCs w:val="22"/>
          <w:lang w:val="en-US"/>
        </w:rPr>
        <w:t>Case Cards handout (attached; pages 4-7; one case per folder)</w:t>
      </w:r>
    </w:p>
    <w:p w14:paraId="27FF24F4" w14:textId="77777777" w:rsidR="0077467A" w:rsidRPr="0077467A" w:rsidRDefault="0077467A" w:rsidP="0077467A">
      <w:pPr>
        <w:numPr>
          <w:ilvl w:val="0"/>
          <w:numId w:val="1"/>
        </w:numPr>
        <w:spacing w:after="120" w:line="276" w:lineRule="auto"/>
        <w:contextualSpacing/>
        <w:rPr>
          <w:sz w:val="22"/>
          <w:szCs w:val="22"/>
          <w:lang w:val="en-US"/>
        </w:rPr>
      </w:pPr>
      <w:r w:rsidRPr="0077467A">
        <w:rPr>
          <w:sz w:val="22"/>
          <w:szCs w:val="22"/>
          <w:lang w:val="en-US"/>
        </w:rPr>
        <w:t xml:space="preserve">Rulers (one per folder) </w:t>
      </w:r>
    </w:p>
    <w:p w14:paraId="0239635C" w14:textId="77777777" w:rsidR="0077467A" w:rsidRPr="0077467A" w:rsidRDefault="0077467A" w:rsidP="0077467A">
      <w:pPr>
        <w:numPr>
          <w:ilvl w:val="0"/>
          <w:numId w:val="1"/>
        </w:numPr>
        <w:spacing w:after="120" w:line="276" w:lineRule="auto"/>
        <w:contextualSpacing/>
        <w:rPr>
          <w:sz w:val="22"/>
          <w:szCs w:val="22"/>
          <w:lang w:val="en-US"/>
        </w:rPr>
      </w:pPr>
      <w:r w:rsidRPr="0077467A">
        <w:rPr>
          <w:sz w:val="22"/>
          <w:szCs w:val="22"/>
          <w:lang w:val="en-US"/>
        </w:rPr>
        <w:t>Colored pipe cleaners (at least 5 different colors)</w:t>
      </w:r>
    </w:p>
    <w:p w14:paraId="6EA5752B" w14:textId="77777777" w:rsidR="0077467A" w:rsidRPr="0077467A" w:rsidRDefault="0077467A" w:rsidP="0077467A">
      <w:pPr>
        <w:numPr>
          <w:ilvl w:val="0"/>
          <w:numId w:val="1"/>
        </w:numPr>
        <w:spacing w:after="120" w:line="276" w:lineRule="auto"/>
        <w:contextualSpacing/>
        <w:rPr>
          <w:sz w:val="22"/>
          <w:szCs w:val="22"/>
          <w:lang w:val="en-US"/>
        </w:rPr>
      </w:pPr>
      <w:r w:rsidRPr="0077467A">
        <w:rPr>
          <w:sz w:val="22"/>
          <w:szCs w:val="22"/>
          <w:lang w:val="en-US"/>
        </w:rPr>
        <w:t xml:space="preserve">Plastic bags filled with appropriately measured lengths of colored pipe cleaners (1 for each case) </w:t>
      </w:r>
    </w:p>
    <w:p w14:paraId="5C8CEE07" w14:textId="77777777" w:rsidR="0077467A" w:rsidRPr="0077467A" w:rsidRDefault="0077467A" w:rsidP="0077467A">
      <w:pPr>
        <w:numPr>
          <w:ilvl w:val="0"/>
          <w:numId w:val="1"/>
        </w:numPr>
        <w:spacing w:after="120" w:line="276" w:lineRule="auto"/>
        <w:contextualSpacing/>
        <w:rPr>
          <w:sz w:val="22"/>
          <w:szCs w:val="22"/>
          <w:lang w:val="en-US"/>
        </w:rPr>
      </w:pPr>
      <w:r w:rsidRPr="0077467A">
        <w:rPr>
          <w:sz w:val="22"/>
          <w:szCs w:val="22"/>
          <w:lang w:val="en-US"/>
        </w:rPr>
        <w:t>Scissors to cut pipe cleaners</w:t>
      </w:r>
    </w:p>
    <w:p w14:paraId="2594799B" w14:textId="77777777" w:rsidR="0077467A" w:rsidRPr="0077467A" w:rsidRDefault="0077467A" w:rsidP="0077467A">
      <w:pPr>
        <w:numPr>
          <w:ilvl w:val="0"/>
          <w:numId w:val="1"/>
        </w:numPr>
        <w:spacing w:after="120" w:line="276" w:lineRule="auto"/>
        <w:contextualSpacing/>
        <w:rPr>
          <w:sz w:val="22"/>
          <w:szCs w:val="22"/>
          <w:lang w:val="en-US"/>
        </w:rPr>
      </w:pPr>
      <w:r w:rsidRPr="0077467A">
        <w:rPr>
          <w:sz w:val="22"/>
          <w:szCs w:val="22"/>
          <w:lang w:val="en-US"/>
        </w:rPr>
        <w:t xml:space="preserve">Forceps or tweezers for each folder (optional) </w:t>
      </w:r>
    </w:p>
    <w:p w14:paraId="4C09FAD6" w14:textId="77777777" w:rsidR="0077467A" w:rsidRPr="0077467A" w:rsidRDefault="0077467A" w:rsidP="0077467A">
      <w:pPr>
        <w:numPr>
          <w:ilvl w:val="0"/>
          <w:numId w:val="1"/>
        </w:numPr>
        <w:spacing w:after="120" w:line="276" w:lineRule="auto"/>
        <w:contextualSpacing/>
        <w:rPr>
          <w:sz w:val="22"/>
          <w:szCs w:val="22"/>
          <w:lang w:val="en-US"/>
        </w:rPr>
      </w:pPr>
      <w:r w:rsidRPr="0077467A">
        <w:rPr>
          <w:sz w:val="22"/>
          <w:szCs w:val="22"/>
          <w:lang w:val="en-US"/>
        </w:rPr>
        <w:t xml:space="preserve">Plastic or latex gloves for each group (optional) </w:t>
      </w:r>
    </w:p>
    <w:p w14:paraId="35E8C12E" w14:textId="77777777" w:rsidR="0077467A" w:rsidRPr="0077467A" w:rsidRDefault="0077467A" w:rsidP="008D6D8F">
      <w:pPr>
        <w:numPr>
          <w:ilvl w:val="0"/>
          <w:numId w:val="1"/>
        </w:numPr>
        <w:spacing w:after="120" w:line="276" w:lineRule="auto"/>
        <w:contextualSpacing/>
        <w:rPr>
          <w:sz w:val="22"/>
          <w:szCs w:val="22"/>
          <w:lang w:val="en-US"/>
        </w:rPr>
      </w:pPr>
      <w:r w:rsidRPr="0077467A">
        <w:rPr>
          <w:sz w:val="22"/>
          <w:szCs w:val="22"/>
          <w:lang w:val="en-US"/>
        </w:rPr>
        <w:t>Folders</w:t>
      </w:r>
    </w:p>
    <w:p w14:paraId="0A1C56DF" w14:textId="77777777" w:rsidR="008D6D8F" w:rsidRDefault="008D6D8F" w:rsidP="008D6D8F">
      <w:pPr>
        <w:spacing w:after="0" w:line="276" w:lineRule="auto"/>
        <w:rPr>
          <w:b/>
          <w:color w:val="910D28"/>
          <w:sz w:val="22"/>
          <w:szCs w:val="22"/>
          <w:highlight w:val="white"/>
          <w:lang w:val="en-US"/>
        </w:rPr>
      </w:pPr>
    </w:p>
    <w:p w14:paraId="3D47C898" w14:textId="34B475EA" w:rsidR="0077467A" w:rsidRPr="0077467A" w:rsidRDefault="0077467A" w:rsidP="008D6D8F">
      <w:pPr>
        <w:spacing w:after="0" w:line="276" w:lineRule="auto"/>
        <w:rPr>
          <w:b/>
          <w:color w:val="910D28"/>
          <w:sz w:val="22"/>
          <w:szCs w:val="22"/>
          <w:highlight w:val="white"/>
          <w:lang w:val="en-US"/>
        </w:rPr>
      </w:pPr>
      <w:r w:rsidRPr="0077467A">
        <w:rPr>
          <w:b/>
          <w:color w:val="910D28"/>
          <w:sz w:val="22"/>
          <w:szCs w:val="22"/>
          <w:highlight w:val="white"/>
          <w:lang w:val="en-US"/>
        </w:rPr>
        <w:t xml:space="preserve">Preparing for the Lesson </w:t>
      </w:r>
    </w:p>
    <w:p w14:paraId="05E7429E" w14:textId="77777777" w:rsidR="0077467A" w:rsidRPr="0077467A" w:rsidRDefault="0077467A" w:rsidP="008D6D8F">
      <w:pPr>
        <w:spacing w:after="0" w:line="240" w:lineRule="auto"/>
        <w:rPr>
          <w:sz w:val="22"/>
          <w:szCs w:val="22"/>
          <w:lang w:val="en-US"/>
        </w:rPr>
      </w:pPr>
      <w:r w:rsidRPr="0077467A">
        <w:rPr>
          <w:sz w:val="22"/>
          <w:szCs w:val="22"/>
          <w:lang w:val="en-US"/>
        </w:rPr>
        <w:t xml:space="preserve">Prepare Case Folders for each case (see examples below). Consider making multiple copies of cases based on classroom needs. </w:t>
      </w:r>
    </w:p>
    <w:p w14:paraId="13F3613F" w14:textId="77777777" w:rsidR="0077467A" w:rsidRPr="0077467A" w:rsidRDefault="0077467A" w:rsidP="0077467A">
      <w:pPr>
        <w:keepNext/>
        <w:keepLines/>
        <w:spacing w:before="200" w:after="0" w:line="276" w:lineRule="auto"/>
        <w:outlineLvl w:val="1"/>
        <w:rPr>
          <w:i/>
          <w:color w:val="910D28"/>
          <w:sz w:val="22"/>
          <w:szCs w:val="22"/>
          <w:lang w:val="en-US"/>
        </w:rPr>
      </w:pPr>
      <w:r w:rsidRPr="0077467A">
        <w:rPr>
          <w:i/>
          <w:color w:val="910D28"/>
          <w:sz w:val="22"/>
          <w:szCs w:val="22"/>
          <w:lang w:val="en-US"/>
        </w:rPr>
        <w:t>Case Folders contain:</w:t>
      </w:r>
    </w:p>
    <w:p w14:paraId="7AE66A0D" w14:textId="77777777" w:rsidR="0077467A" w:rsidRPr="0077467A" w:rsidRDefault="0077467A" w:rsidP="0077467A">
      <w:pPr>
        <w:numPr>
          <w:ilvl w:val="0"/>
          <w:numId w:val="2"/>
        </w:numPr>
        <w:spacing w:after="120" w:line="276" w:lineRule="auto"/>
        <w:contextualSpacing/>
        <w:rPr>
          <w:sz w:val="22"/>
          <w:szCs w:val="22"/>
          <w:lang w:val="en-US"/>
        </w:rPr>
      </w:pPr>
      <w:r w:rsidRPr="0077467A">
        <w:rPr>
          <w:sz w:val="22"/>
          <w:szCs w:val="22"/>
          <w:lang w:val="en-US"/>
        </w:rPr>
        <w:t xml:space="preserve">Bug Bag of cut pipe cleaners (use Table 1 page 8). Label each bag with a case number. </w:t>
      </w:r>
    </w:p>
    <w:p w14:paraId="747F6F74" w14:textId="77777777" w:rsidR="0077467A" w:rsidRPr="0077467A" w:rsidRDefault="0077467A" w:rsidP="0077467A">
      <w:pPr>
        <w:numPr>
          <w:ilvl w:val="0"/>
          <w:numId w:val="2"/>
        </w:numPr>
        <w:spacing w:after="120" w:line="276" w:lineRule="auto"/>
        <w:contextualSpacing/>
        <w:rPr>
          <w:sz w:val="22"/>
          <w:szCs w:val="22"/>
          <w:lang w:val="en-US"/>
        </w:rPr>
      </w:pPr>
      <w:r w:rsidRPr="0077467A">
        <w:rPr>
          <w:sz w:val="22"/>
          <w:szCs w:val="22"/>
          <w:lang w:val="en-US"/>
        </w:rPr>
        <w:t>Case Cards handout (print one-sided)</w:t>
      </w:r>
    </w:p>
    <w:p w14:paraId="57E3A35C" w14:textId="77777777" w:rsidR="0077467A" w:rsidRPr="0077467A" w:rsidRDefault="0077467A" w:rsidP="0077467A">
      <w:pPr>
        <w:numPr>
          <w:ilvl w:val="0"/>
          <w:numId w:val="2"/>
        </w:numPr>
        <w:spacing w:after="120" w:line="276" w:lineRule="auto"/>
        <w:contextualSpacing/>
        <w:rPr>
          <w:sz w:val="22"/>
          <w:szCs w:val="22"/>
          <w:lang w:val="en-US"/>
        </w:rPr>
      </w:pPr>
      <w:r w:rsidRPr="0077467A">
        <w:rPr>
          <w:sz w:val="22"/>
          <w:szCs w:val="22"/>
          <w:lang w:val="en-US"/>
        </w:rPr>
        <w:t>Case Resources handout (can be printed one-sided or double-sided)</w:t>
      </w:r>
    </w:p>
    <w:p w14:paraId="52FEE1C1" w14:textId="77777777" w:rsidR="0077467A" w:rsidRPr="0077467A" w:rsidRDefault="0077467A" w:rsidP="0077467A">
      <w:pPr>
        <w:numPr>
          <w:ilvl w:val="0"/>
          <w:numId w:val="2"/>
        </w:numPr>
        <w:spacing w:after="120" w:line="276" w:lineRule="auto"/>
        <w:contextualSpacing/>
        <w:rPr>
          <w:sz w:val="22"/>
          <w:szCs w:val="22"/>
          <w:lang w:val="en-US"/>
        </w:rPr>
      </w:pPr>
      <w:r w:rsidRPr="0077467A">
        <w:rPr>
          <w:sz w:val="22"/>
          <w:szCs w:val="22"/>
          <w:lang w:val="en-US"/>
        </w:rPr>
        <w:t xml:space="preserve">Ruler measuring millimeters </w:t>
      </w:r>
    </w:p>
    <w:p w14:paraId="17278115" w14:textId="77777777" w:rsidR="0077467A" w:rsidRPr="0077467A" w:rsidRDefault="0077467A" w:rsidP="0077467A">
      <w:pPr>
        <w:numPr>
          <w:ilvl w:val="0"/>
          <w:numId w:val="2"/>
        </w:numPr>
        <w:spacing w:after="120" w:line="276" w:lineRule="auto"/>
        <w:contextualSpacing/>
        <w:rPr>
          <w:sz w:val="22"/>
          <w:szCs w:val="22"/>
          <w:lang w:val="en-US"/>
        </w:rPr>
      </w:pPr>
      <w:r w:rsidRPr="0077467A">
        <w:rPr>
          <w:sz w:val="22"/>
          <w:szCs w:val="22"/>
          <w:lang w:val="en-US"/>
        </w:rPr>
        <w:t>Forceps or tweezers (optional)</w:t>
      </w:r>
    </w:p>
    <w:p w14:paraId="618FBF8B" w14:textId="49ED241D" w:rsidR="0077467A" w:rsidRPr="0077467A" w:rsidRDefault="0077467A" w:rsidP="0077467A">
      <w:pPr>
        <w:numPr>
          <w:ilvl w:val="0"/>
          <w:numId w:val="2"/>
        </w:numPr>
        <w:spacing w:after="120" w:line="276" w:lineRule="auto"/>
        <w:contextualSpacing/>
        <w:rPr>
          <w:lang w:val="en-US"/>
        </w:rPr>
      </w:pPr>
      <w:r w:rsidRPr="0077467A">
        <w:rPr>
          <w:sz w:val="22"/>
          <w:szCs w:val="22"/>
          <w:lang w:val="en-US"/>
        </w:rPr>
        <w:t xml:space="preserve">Plastic or latex gloves for each group (optional) </w:t>
      </w:r>
    </w:p>
    <w:p w14:paraId="15B40C6F" w14:textId="74F95097" w:rsidR="004620B0" w:rsidRPr="0077467A" w:rsidRDefault="008D6D8F" w:rsidP="008D6D8F">
      <w:pPr>
        <w:spacing w:after="120" w:line="276" w:lineRule="auto"/>
      </w:pPr>
      <w:r w:rsidRPr="0077467A">
        <w:rPr>
          <w:noProof/>
          <w:lang w:val="en-US"/>
        </w:rPr>
        <w:drawing>
          <wp:anchor distT="0" distB="0" distL="114300" distR="114300" simplePos="0" relativeHeight="251659264" behindDoc="0" locked="0" layoutInCell="1" allowOverlap="1" wp14:anchorId="34F6D83C" wp14:editId="4D570683">
            <wp:simplePos x="0" y="0"/>
            <wp:positionH relativeFrom="column">
              <wp:posOffset>3052496</wp:posOffset>
            </wp:positionH>
            <wp:positionV relativeFrom="paragraph">
              <wp:posOffset>233436</wp:posOffset>
            </wp:positionV>
            <wp:extent cx="2714625" cy="2138085"/>
            <wp:effectExtent l="0" t="0" r="3175" b="0"/>
            <wp:wrapNone/>
            <wp:docPr id="6" name="Picture 3" descr="A yellow folder with papers and glo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yellow folder with papers and glove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14625" cy="2138085"/>
                    </a:xfrm>
                    <a:prstGeom prst="rect">
                      <a:avLst/>
                    </a:prstGeom>
                  </pic:spPr>
                </pic:pic>
              </a:graphicData>
            </a:graphic>
            <wp14:sizeRelH relativeFrom="page">
              <wp14:pctWidth>0</wp14:pctWidth>
            </wp14:sizeRelH>
            <wp14:sizeRelV relativeFrom="page">
              <wp14:pctHeight>0</wp14:pctHeight>
            </wp14:sizeRelV>
          </wp:anchor>
        </w:drawing>
      </w:r>
      <w:r w:rsidRPr="0077467A">
        <w:rPr>
          <w:noProof/>
          <w:lang w:val="en-US"/>
        </w:rPr>
        <w:drawing>
          <wp:anchor distT="0" distB="0" distL="114300" distR="114300" simplePos="0" relativeHeight="251660288" behindDoc="0" locked="0" layoutInCell="1" allowOverlap="1" wp14:anchorId="34E9954C" wp14:editId="398D0267">
            <wp:simplePos x="0" y="0"/>
            <wp:positionH relativeFrom="column">
              <wp:posOffset>-21590</wp:posOffset>
            </wp:positionH>
            <wp:positionV relativeFrom="paragraph">
              <wp:posOffset>233435</wp:posOffset>
            </wp:positionV>
            <wp:extent cx="3048000" cy="2120900"/>
            <wp:effectExtent l="0" t="0" r="0" b="0"/>
            <wp:wrapNone/>
            <wp:docPr id="7" name="Picture 2" descr="Several yellow folders with papers in th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veral yellow folders with papers in them&#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48000" cy="2120900"/>
                    </a:xfrm>
                    <a:prstGeom prst="rect">
                      <a:avLst/>
                    </a:prstGeom>
                  </pic:spPr>
                </pic:pic>
              </a:graphicData>
            </a:graphic>
            <wp14:sizeRelH relativeFrom="page">
              <wp14:pctWidth>0</wp14:pctWidth>
            </wp14:sizeRelH>
            <wp14:sizeRelV relativeFrom="page">
              <wp14:pctHeight>0</wp14:pctHeight>
            </wp14:sizeRelV>
          </wp:anchor>
        </w:drawing>
      </w:r>
    </w:p>
    <w:sectPr w:rsidR="004620B0" w:rsidRPr="0077467A" w:rsidSect="004F0F3A">
      <w:headerReference w:type="even" r:id="rId9"/>
      <w:headerReference w:type="default" r:id="rId10"/>
      <w:footerReference w:type="even" r:id="rId11"/>
      <w:footerReference w:type="default" r:id="rId12"/>
      <w:headerReference w:type="first" r:id="rId13"/>
      <w:footerReference w:type="first" r:id="rId14"/>
      <w:pgSz w:w="12240" w:h="15840"/>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FCF7A" w14:textId="77777777" w:rsidR="006D4A59" w:rsidRDefault="006D4A59">
      <w:pPr>
        <w:spacing w:after="0" w:line="240" w:lineRule="auto"/>
      </w:pPr>
      <w:r>
        <w:separator/>
      </w:r>
    </w:p>
  </w:endnote>
  <w:endnote w:type="continuationSeparator" w:id="0">
    <w:p w14:paraId="731C7222" w14:textId="77777777" w:rsidR="006D4A59" w:rsidRDefault="006D4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E58F7" w14:textId="77777777" w:rsidR="004620B0" w:rsidRDefault="004620B0">
    <w:pPr>
      <w:pBdr>
        <w:top w:val="nil"/>
        <w:left w:val="nil"/>
        <w:bottom w:val="nil"/>
        <w:right w:val="nil"/>
        <w:between w:val="nil"/>
      </w:pBdr>
      <w:tabs>
        <w:tab w:val="left" w:pos="934"/>
      </w:tabs>
      <w:spacing w:after="0" w:line="240" w:lineRule="auto"/>
      <w:rPr>
        <w:b/>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83C0F" w14:textId="77777777" w:rsidR="004620B0" w:rsidRDefault="00000000">
    <w:pPr>
      <w:pBdr>
        <w:top w:val="nil"/>
        <w:left w:val="nil"/>
        <w:bottom w:val="nil"/>
        <w:right w:val="nil"/>
        <w:between w:val="nil"/>
      </w:pBdr>
      <w:tabs>
        <w:tab w:val="left" w:pos="934"/>
      </w:tabs>
      <w:spacing w:after="0" w:line="240" w:lineRule="auto"/>
      <w:rPr>
        <w:b/>
        <w:color w:val="000000"/>
      </w:rPr>
    </w:pP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noProof/>
      </w:rPr>
      <w:drawing>
        <wp:anchor distT="0" distB="0" distL="0" distR="0" simplePos="0" relativeHeight="251658240" behindDoc="1" locked="0" layoutInCell="1" hidden="0" allowOverlap="1" wp14:anchorId="19A53453" wp14:editId="71D518A2">
          <wp:simplePos x="0" y="0"/>
          <wp:positionH relativeFrom="column">
            <wp:posOffset>1040569</wp:posOffset>
          </wp:positionH>
          <wp:positionV relativeFrom="paragraph">
            <wp:posOffset>-239931</wp:posOffset>
          </wp:positionV>
          <wp:extent cx="4902200" cy="508000"/>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902200" cy="50800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171EFFCE" wp14:editId="1B484C8B">
              <wp:simplePos x="0" y="0"/>
              <wp:positionH relativeFrom="column">
                <wp:posOffset>3124200</wp:posOffset>
              </wp:positionH>
              <wp:positionV relativeFrom="paragraph">
                <wp:posOffset>-190499</wp:posOffset>
              </wp:positionV>
              <wp:extent cx="1838325" cy="242084"/>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4431600" y="2865600"/>
                        <a:ext cx="2291700" cy="284700"/>
                      </a:xfrm>
                      <a:prstGeom prst="rect">
                        <a:avLst/>
                      </a:prstGeom>
                      <a:noFill/>
                      <a:ln>
                        <a:noFill/>
                      </a:ln>
                    </wps:spPr>
                    <wps:txbx>
                      <w:txbxContent>
                        <w:p w14:paraId="3FAD27A5" w14:textId="33342E1C" w:rsidR="004620B0" w:rsidRDefault="0077467A">
                          <w:pPr>
                            <w:spacing w:after="0" w:line="240" w:lineRule="auto"/>
                            <w:jc w:val="right"/>
                            <w:textDirection w:val="btLr"/>
                          </w:pPr>
                          <w:r>
                            <w:rPr>
                              <w:b/>
                              <w:color w:val="000000"/>
                            </w:rPr>
                            <w:t>CRIME SOLVING INSECTS</w:t>
                          </w:r>
                        </w:p>
                      </w:txbxContent>
                    </wps:txbx>
                    <wps:bodyPr spcFirstLastPara="1" wrap="square" lIns="91425" tIns="45700" rIns="91425" bIns="45700" anchor="t" anchorCtr="0">
                      <a:noAutofit/>
                    </wps:bodyPr>
                  </wps:wsp>
                </a:graphicData>
              </a:graphic>
            </wp:anchor>
          </w:drawing>
        </mc:Choice>
        <mc:Fallback>
          <w:pict>
            <v:rect w14:anchorId="171EFFCE" id="Rectangle 1" o:spid="_x0000_s1026" style="position:absolute;margin-left:246pt;margin-top:-15pt;width:144.75pt;height:19.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XLitAEAAFoDAAAOAAAAZHJzL2Uyb0RvYy54bWysU9tu2zAMfR/QfxD03vgyJ2uNOMWwIsOA&#10;YgvQ7gMUWYoF2JJGKrHz96OUtMm6t2EvMiUeHB4e0suHaejZQQEaZxtezHLOlJWuNXbX8J8v69s7&#10;zjAI24reWdXwo0L+sLr5sBx9rUrXub5VwIjEYj36hnch+DrLUHZqEDhzXllKageDCHSFXdaCGIl9&#10;6LMyzxfZ6KD14KRCpNfHU5KvEr/WSoYfWqMKrG84aQvphHRu45mtlqLegfCdkWcZ4h9UDMJYKvpG&#10;9SiCYHswf1ENRoJDp8NMuiFzWhupUg/UTZG/6+a5E16lXsgc9G824f+jld8Pz34DZMPosUYKYxeT&#10;hiF+SR+bGl5VH4tFTvYdG17eLeYxTsapKTBJgLK8Lz5FgEyIKsYEyC5MHjB8VW5gMWg40GCSX+Lw&#10;hOEEfYXEwtatTd+nGr3944E440t2kRujMG0nQsdw69rjBhh6uTZU60lg2AigoRacjTTohuOvvQDF&#10;Wf/NkpP3RVXOaTPSpZqnNuA6s73OCCs7R/sTODuFX0LappPGz/vgtEn9XKScxdIAkyPnZYsbcn1P&#10;qMsvsfoNAAD//wMAUEsDBBQABgAIAAAAIQAwpSpN3QAAAAkBAAAPAAAAZHJzL2Rvd25yZXYueG1s&#10;TI/BTsMwEETvSPyDtUjcWjulLSFkUyFEDxxJOXB04yWJsNdR7LTp39ec4DarGc2+KXezs+JEY+g9&#10;I2RLBYK48abnFuHzsF/kIELUbLT1TAgXCrCrbm9KXRh/5g861bEVqYRDoRG6GIdCytB05HRY+oE4&#10;ed9+dDqmc2ylGfU5lTsrV0ptpdM9pw+dHui1o+annhzCQNZMdl2rr0a+jZxt3w/yskG8v5tfnkFE&#10;muNfGH7xEzpUienoJzZBWIT10yptiQiLB5VESjzm2QbEESHPQFal/L+gugIAAP//AwBQSwECLQAU&#10;AAYACAAAACEAtoM4kv4AAADhAQAAEwAAAAAAAAAAAAAAAAAAAAAAW0NvbnRlbnRfVHlwZXNdLnht&#10;bFBLAQItABQABgAIAAAAIQA4/SH/1gAAAJQBAAALAAAAAAAAAAAAAAAAAC8BAABfcmVscy8ucmVs&#10;c1BLAQItABQABgAIAAAAIQB9LXLitAEAAFoDAAAOAAAAAAAAAAAAAAAAAC4CAABkcnMvZTJvRG9j&#10;LnhtbFBLAQItABQABgAIAAAAIQAwpSpN3QAAAAkBAAAPAAAAAAAAAAAAAAAAAA4EAABkcnMvZG93&#10;bnJldi54bWxQSwUGAAAAAAQABADzAAAAGAUAAAAA&#10;" filled="f" stroked="f">
              <v:textbox inset="2.53958mm,1.2694mm,2.53958mm,1.2694mm">
                <w:txbxContent>
                  <w:p w14:paraId="3FAD27A5" w14:textId="33342E1C" w:rsidR="004620B0" w:rsidRDefault="0077467A">
                    <w:pPr>
                      <w:spacing w:after="0" w:line="240" w:lineRule="auto"/>
                      <w:jc w:val="right"/>
                      <w:textDirection w:val="btLr"/>
                    </w:pPr>
                    <w:r>
                      <w:rPr>
                        <w:b/>
                        <w:color w:val="000000"/>
                      </w:rPr>
                      <w:t>CRIME SOLVING INSECTS</w:t>
                    </w: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E5A5C" w14:textId="77777777" w:rsidR="004620B0" w:rsidRDefault="004620B0">
    <w:pPr>
      <w:pBdr>
        <w:top w:val="nil"/>
        <w:left w:val="nil"/>
        <w:bottom w:val="nil"/>
        <w:right w:val="nil"/>
        <w:between w:val="nil"/>
      </w:pBdr>
      <w:tabs>
        <w:tab w:val="left" w:pos="934"/>
      </w:tabs>
      <w:spacing w:after="0" w:line="240" w:lineRule="auto"/>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4A373" w14:textId="77777777" w:rsidR="006D4A59" w:rsidRDefault="006D4A59">
      <w:pPr>
        <w:spacing w:after="0" w:line="240" w:lineRule="auto"/>
      </w:pPr>
      <w:r>
        <w:separator/>
      </w:r>
    </w:p>
  </w:footnote>
  <w:footnote w:type="continuationSeparator" w:id="0">
    <w:p w14:paraId="41495951" w14:textId="77777777" w:rsidR="006D4A59" w:rsidRDefault="006D4A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72860" w14:textId="77777777" w:rsidR="004620B0" w:rsidRDefault="004620B0">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EE95B" w14:textId="77777777" w:rsidR="004620B0" w:rsidRDefault="004620B0">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2B831" w14:textId="77777777" w:rsidR="004620B0" w:rsidRDefault="004620B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A0CEB"/>
    <w:multiLevelType w:val="hybridMultilevel"/>
    <w:tmpl w:val="A10A9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3B2023E"/>
    <w:multiLevelType w:val="hybridMultilevel"/>
    <w:tmpl w:val="829C3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65161915">
    <w:abstractNumId w:val="0"/>
  </w:num>
  <w:num w:numId="2" w16cid:durableId="1480656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0B0"/>
    <w:rsid w:val="000F6158"/>
    <w:rsid w:val="003D26E8"/>
    <w:rsid w:val="004620B0"/>
    <w:rsid w:val="004F0F3A"/>
    <w:rsid w:val="00686373"/>
    <w:rsid w:val="006D4A59"/>
    <w:rsid w:val="007340BC"/>
    <w:rsid w:val="0077467A"/>
    <w:rsid w:val="008747B6"/>
    <w:rsid w:val="008D301C"/>
    <w:rsid w:val="008D6D8F"/>
    <w:rsid w:val="008F2F8F"/>
    <w:rsid w:val="00A812D0"/>
    <w:rsid w:val="00AD3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6D4E1"/>
  <w15:docId w15:val="{17713F24-61DE-4DD8-9F7E-054E447F0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00" w:after="120" w:line="240" w:lineRule="auto"/>
      <w:outlineLvl w:val="0"/>
    </w:pPr>
    <w:rPr>
      <w:b/>
      <w:color w:val="971D20"/>
      <w:highlight w:val="white"/>
    </w:rPr>
  </w:style>
  <w:style w:type="paragraph" w:styleId="Heading2">
    <w:name w:val="heading 2"/>
    <w:basedOn w:val="Normal"/>
    <w:next w:val="Normal"/>
    <w:uiPriority w:val="9"/>
    <w:unhideWhenUsed/>
    <w:qFormat/>
    <w:pPr>
      <w:outlineLvl w:val="1"/>
    </w:pPr>
    <w:rPr>
      <w:i/>
      <w:color w:val="971D20"/>
    </w:rPr>
  </w:style>
  <w:style w:type="paragraph" w:styleId="Heading3">
    <w:name w:val="heading 3"/>
    <w:basedOn w:val="Normal"/>
    <w:next w:val="Normal"/>
    <w:uiPriority w:val="9"/>
    <w:unhideWhenUsed/>
    <w:qFormat/>
    <w:pPr>
      <w:outlineLvl w:val="2"/>
    </w:pPr>
    <w:rPr>
      <w:i/>
      <w:sz w:val="18"/>
      <w:szCs w:val="18"/>
    </w:rPr>
  </w:style>
  <w:style w:type="paragraph" w:styleId="Heading4">
    <w:name w:val="heading 4"/>
    <w:basedOn w:val="Normal"/>
    <w:next w:val="Normal"/>
    <w:uiPriority w:val="9"/>
    <w:unhideWhenUsed/>
    <w:qFormat/>
    <w:pPr>
      <w:outlineLvl w:val="3"/>
    </w:pPr>
    <w:rPr>
      <w:color w:val="D30F7F"/>
    </w:rPr>
  </w:style>
  <w:style w:type="paragraph" w:styleId="Heading5">
    <w:name w:val="heading 5"/>
    <w:basedOn w:val="Normal"/>
    <w:next w:val="Normal"/>
    <w:uiPriority w:val="9"/>
    <w:semiHidden/>
    <w:unhideWhenUsed/>
    <w:qFormat/>
    <w:pPr>
      <w:keepNext/>
      <w:keepLines/>
      <w:spacing w:before="80" w:after="40"/>
      <w:outlineLvl w:val="4"/>
    </w:pPr>
    <w:rPr>
      <w:color w:val="1D6792"/>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Kraus, Michael J.</cp:lastModifiedBy>
  <cp:revision>2</cp:revision>
  <dcterms:created xsi:type="dcterms:W3CDTF">2026-04-30T19:44:00Z</dcterms:created>
  <dcterms:modified xsi:type="dcterms:W3CDTF">2026-04-30T19:44:00Z</dcterms:modified>
</cp:coreProperties>
</file>