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470D31" w14:textId="77777777" w:rsidR="00D11374" w:rsidRDefault="00186C3C">
      <w:pPr>
        <w:pStyle w:val="Title"/>
        <w:bidi w:val="0"/>
      </w:pPr>
      <w:bookmarkStart w:id="0" w:name="_heading=h.gjdgxs" w:colFirst="0" w:colLast="0"/>
      <w:bookmarkEnd w:id="0"/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 de símbolos de seguridad</w:t>
      </w:r>
    </w:p>
    <w:tbl>
      <w:tblPr>
        <w:tblStyle w:val="a1"/>
        <w:tblW w:w="9725" w:type="dxa"/>
        <w:tblInd w:w="-10" w:type="dxa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3242"/>
        <w:gridCol w:w="3242"/>
      </w:tblGrid>
      <w:tr w:rsidR="00D11374" w14:paraId="0F470D35" w14:textId="77777777" w:rsidTr="00186C3C">
        <w:trPr>
          <w:trHeight w:val="2655"/>
        </w:trPr>
        <w:tc>
          <w:tcPr>
            <w:tcW w:w="3241" w:type="dxa"/>
            <w:shd w:val="clear" w:color="auto" w:fill="FFFFFF"/>
            <w:vAlign w:val="center"/>
          </w:tcPr>
          <w:p w14:paraId="0F470D32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Inflamable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3" w14:textId="77777777" w:rsidR="00D11374" w:rsidRDefault="00186C3C" w:rsidP="00186C3C">
            <w:pPr>
              <w:tabs>
                <w:tab w:val="center" w:pos="4680"/>
                <w:tab w:val="right" w:pos="9360"/>
              </w:tabs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5A" wp14:editId="0F470D5B">
                  <wp:extent cx="1752600" cy="1565409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l="3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654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4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Inflamable cuando se expone al calor, al fuego o a las chispas. Puede desprender gases inflamables al reaccionar con el agua. Deben evitarse las fuentes de ignición. </w:t>
            </w:r>
          </w:p>
        </w:tc>
      </w:tr>
      <w:tr w:rsidR="00D11374" w14:paraId="0F470D39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36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Corrosivo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7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5C" wp14:editId="0F470D5D">
                  <wp:extent cx="1905000" cy="1892300"/>
                  <wp:effectExtent l="0" t="0" r="0" b="0"/>
                  <wp:docPr id="1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9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8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Puede causar quemaduras en la piel y daños en los ojos. También puede corroer los metales. Evitar el contacto con la piel y los ojos, y no respirar los vapores. </w:t>
            </w:r>
          </w:p>
        </w:tc>
      </w:tr>
      <w:tr w:rsidR="00D11374" w14:paraId="0F470D3D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3A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Explosivo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B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5E" wp14:editId="0F470D5F">
                  <wp:extent cx="1905000" cy="190500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C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Puede explotar como consecuencia del fuego, el calor, el choque o la fricción. Los productos químicos con esta etiqueta deben mantenerse alejados de posibles fuentes de ignición. </w:t>
            </w:r>
          </w:p>
        </w:tc>
      </w:tr>
      <w:tr w:rsidR="00D11374" w14:paraId="0F470D41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3E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Gas comprimido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3F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0" wp14:editId="0F470D61">
                  <wp:extent cx="1905000" cy="1752600"/>
                  <wp:effectExtent l="0" t="0" r="0" b="0"/>
                  <wp:docPr id="1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52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0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contenedor contiene gas presurizado. Este puede ser frío cuando se libera y explosivo cuando se calienta. Los contenedores no deben calentarse. </w:t>
            </w:r>
          </w:p>
        </w:tc>
      </w:tr>
      <w:tr w:rsidR="00D11374" w14:paraId="0F470D45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42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Oxidante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3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2" wp14:editId="0F470D63">
                  <wp:extent cx="1905000" cy="1790700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4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 quema incluso en ausencia de aire. Puede intensificar los incendios en materiales combustibles. Debe mantenerse alejado de las fuentes de ignición. </w:t>
            </w:r>
          </w:p>
        </w:tc>
      </w:tr>
      <w:tr w:rsidR="00D11374" w14:paraId="0F470D49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46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Tóxico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7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4" wp14:editId="0F470D65">
                  <wp:extent cx="1905000" cy="1879600"/>
                  <wp:effectExtent l="0" t="0" r="0" b="0"/>
                  <wp:docPr id="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7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8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Indica efectos mortales, en algunos casos incluso tras una exposición limitada. Debe evitarse cualquier forma de ingestión y el contacto con la piel. </w:t>
            </w:r>
          </w:p>
        </w:tc>
      </w:tr>
      <w:tr w:rsidR="00D11374" w14:paraId="0F470D4D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4A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Peligro para la salud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B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6" wp14:editId="0F470D67">
                  <wp:extent cx="1905000" cy="1816100"/>
                  <wp:effectExtent l="0" t="0" r="0" b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C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exposición a corto o largo plazo podría causar graves efectos en la salud a largo plazo. Debe evitarse el contacto con la piel y la ingestión de este material. </w:t>
            </w:r>
          </w:p>
        </w:tc>
      </w:tr>
      <w:tr w:rsidR="00D11374" w14:paraId="0F470D51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4E" w14:textId="77777777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Nocivo/Irritante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4F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8" wp14:editId="0F470D69">
                  <wp:extent cx="1905000" cy="1828800"/>
                  <wp:effectExtent l="0" t="0" r="0" b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50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Puede irritar la piel o presentar una toxicidad menor. Como precaución, el material debe mantenerse alejado de la piel y los ojos. </w:t>
            </w:r>
          </w:p>
        </w:tc>
      </w:tr>
      <w:tr w:rsidR="00D11374" w14:paraId="0F470D55" w14:textId="77777777" w:rsidTr="00981B40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F470D52" w14:textId="0F09038C" w:rsidR="00D11374" w:rsidRPr="00981B40" w:rsidRDefault="00186C3C">
            <w:pPr>
              <w:jc w:val="center"/>
              <w:rPr>
                <w:b/>
                <w:color w:val="910D28"/>
                <w:sz w:val="28"/>
                <w:szCs w:val="28"/>
              </w:rPr>
              <w:bidi w:val="0"/>
            </w:pPr>
            <w:r>
              <w:rPr>
                <w:color w:val="910D28"/>
                <w:sz w:val="28"/>
                <w:szCs w:val="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Peligroso para el medio ambiente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53" w14:textId="77777777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noProof/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114300" distB="114300" distL="114300" distR="114300" wp14:anchorId="0F470D6A" wp14:editId="0F470D6B">
                  <wp:extent cx="1905000" cy="1879600"/>
                  <wp:effectExtent l="0" t="0" r="0" b="0"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7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470D54" w14:textId="000B0DEC" w:rsidR="00D11374" w:rsidRDefault="00186C3C">
            <w:pPr>
              <w:jc w:val="center"/>
              <w:rPr>
                <w:sz w:val="22"/>
                <w:szCs w:val="22"/>
              </w:rPr>
              <w:bidi w:val="0"/>
            </w:pPr>
            <w:r>
              <w:rPr>
                <w:sz w:val="22"/>
                <w:szCs w:val="22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Indica las sustancias que son tóxicas para los organismos acuáticos, o las sustancias que pueden causar efectos duraderos del medio ambiente. Deben eliminarse de forma responsable. </w:t>
            </w:r>
          </w:p>
        </w:tc>
      </w:tr>
    </w:tbl>
    <w:p w14:paraId="0F470D56" w14:textId="77777777" w:rsidR="00D11374" w:rsidRDefault="00D11374"/>
    <w:p w14:paraId="0F470D57" w14:textId="77777777" w:rsidR="00D11374" w:rsidRDefault="00D11374"/>
    <w:p w14:paraId="0F470D58" w14:textId="77777777" w:rsidR="00D11374" w:rsidRDefault="00D11374"/>
    <w:p w14:paraId="0F470D59" w14:textId="77777777" w:rsidR="00D11374" w:rsidRDefault="00D11374"/>
    <w:sectPr w:rsidR="00D1137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318B6" w14:textId="77777777" w:rsidR="0080305D" w:rsidRDefault="0080305D">
      <w:pPr>
        <w:spacing w:after="0" w:line="240" w:lineRule="auto"/>
      </w:pPr>
      <w:r>
        <w:separator/>
      </w:r>
    </w:p>
  </w:endnote>
  <w:endnote w:type="continuationSeparator" w:id="0">
    <w:p w14:paraId="35585B33" w14:textId="77777777" w:rsidR="0080305D" w:rsidRDefault="0080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6E" w14:textId="77777777" w:rsidR="00D11374" w:rsidRDefault="00D113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6F" w14:textId="77777777" w:rsidR="00D11374" w:rsidRDefault="00186C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F470D72" wp14:editId="0F470D73">
              <wp:simplePos x="0" y="0"/>
              <wp:positionH relativeFrom="column">
                <wp:posOffset>1743075</wp:posOffset>
              </wp:positionH>
              <wp:positionV relativeFrom="paragraph">
                <wp:posOffset>-66674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470D76" w14:textId="77777777" w:rsidR="00D11374" w:rsidRPr="00981B40" w:rsidRDefault="00186C3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  <w:bidi w:val="0"/>
                          </w:pPr>
                          <w:r>
                            <w:rPr>
                              <w:rFonts w:asciiTheme="minorHAnsi" w:cstheme="minorHAnsi" w:eastAsia="Arial" w:hAnsiTheme="minorHAnsi"/>
                              <w:smallCaps/>
                              <w:color w:val="2D2D2D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RULES OF THE MOGWAI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470D72" id="_x0000_s1026" style="position:absolute;margin-left:137.25pt;margin-top:-5.25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" filled="f" stroked="f">
              <v:textbox inset="2.53958mm,1.2694mm,2.53958mm,1.2694mm">
                <w:txbxContent>
                  <w:p w14:paraId="0F470D76" w14:textId="77777777" w:rsidR="00D11374" w:rsidRPr="00981B40" w:rsidRDefault="00186C3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</w:rPr>
                      <w:bidi w:val="0"/>
                    </w:pPr>
                    <w:r>
                      <w:rPr>
                        <w:rFonts w:asciiTheme="minorHAnsi" w:cstheme="minorHAnsi" w:eastAsia="Arial" w:hAnsiTheme="min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RULES OF THE MOGWAI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7215" behindDoc="0" locked="0" layoutInCell="1" hidden="0" allowOverlap="1" wp14:anchorId="0F470D74" wp14:editId="28A18256">
          <wp:simplePos x="0" y="0"/>
          <wp:positionH relativeFrom="column">
            <wp:posOffset>1676400</wp:posOffset>
          </wp:positionH>
          <wp:positionV relativeFrom="paragraph">
            <wp:posOffset>28575</wp:posOffset>
          </wp:positionV>
          <wp:extent cx="4572000" cy="316865"/>
          <wp:effectExtent l="0" t="0" r="0" b="0"/>
          <wp:wrapSquare wrapText="bothSides" distT="0" distB="0" distL="0" distR="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71" w14:textId="77777777" w:rsidR="00D11374" w:rsidRDefault="00D113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B6AA" w14:textId="77777777" w:rsidR="0080305D" w:rsidRDefault="0080305D">
      <w:pPr>
        <w:spacing w:after="0" w:line="240" w:lineRule="auto"/>
      </w:pPr>
      <w:r>
        <w:separator/>
      </w:r>
    </w:p>
  </w:footnote>
  <w:footnote w:type="continuationSeparator" w:id="0">
    <w:p w14:paraId="79CA0B5D" w14:textId="77777777" w:rsidR="0080305D" w:rsidRDefault="0080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6C" w14:textId="77777777" w:rsidR="00D11374" w:rsidRDefault="00D113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6D" w14:textId="77777777" w:rsidR="00D11374" w:rsidRDefault="00D11374">
    <w:pP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0D70" w14:textId="77777777" w:rsidR="00D11374" w:rsidRDefault="00D113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74"/>
    <w:rsid w:val="00186C3C"/>
    <w:rsid w:val="003C30B6"/>
    <w:rsid w:val="0056764C"/>
    <w:rsid w:val="0080305D"/>
    <w:rsid w:val="00981B40"/>
    <w:rsid w:val="00CF61D8"/>
    <w:rsid w:val="00D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0D31"/>
  <w15:docId w15:val="{CB4DA8A6-393F-48D5-9532-4B2F80C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 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97897C-0FB8-2141-B3E2-E0951458CC35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rOyQD64UUHa7WVJunLQb5x1m8g==">AMUW2mUbk5AXiUZ9Vy48GEsvWPmBp/q7ycoCIbpyc4gAGBb3ikWYPVeuenJxvaTYBgLYJhdVnyFmu/yRIiZt63HP9McScZUXBZw63tr+/nEcefJwHeik+75M7STn9B6QRbYJhw5bVLUb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131</Words>
  <Characters>1277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Walters, Darrin J.</cp:lastModifiedBy>
  <cp:revision>4</cp:revision>
  <dcterms:created xsi:type="dcterms:W3CDTF">2019-10-08T18:28:00Z</dcterms:created>
  <dcterms:modified xsi:type="dcterms:W3CDTF">2020-05-05T19:35:00Z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documentId_8790</vt:lpwstr>
  </property>
</Properties>
</file>