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243" w:rsidRPr="00D10784" w:rsidRDefault="00D10784" w:rsidP="00D10784">
      <w:pPr>
        <w:spacing w:line="276" w:lineRule="auto"/>
        <w:rPr>
          <w:b/>
          <w:sz w:val="28"/>
          <w:szCs w:val="28"/>
        </w:rPr>
        <w:bidi w:val="0"/>
      </w:pPr>
      <w:r>
        <w:rPr>
          <w:color w:val="313131" w:themeColor="accent4" w:themeShade="80"/>
          <w:sz w:val="28"/>
          <w:szCs w:val="28"/>
          <w:lang w:val="es"/>
          <w:b w:val="1"/>
          <w:bCs w:val="1"/>
          <w:i w:val="0"/>
          <w:iCs w:val="0"/>
          <w:u w:val="none"/>
          <w:vertAlign w:val="baseline"/>
          <w:rtl w:val="0"/>
        </w:rPr>
        <w:t xml:space="preserve">¿ADÓNDE VAN NUESTROS IMPUESTOS LOCALES?</w:t>
      </w:r>
    </w:p>
    <w:p w:rsidR="00756C17" w:rsidRPr="00D10784" w:rsidRDefault="003D0A76" w:rsidP="00D10784">
      <w:pPr>
        <w:spacing w:line="276" w:lineRule="auto"/>
        <w:bidi w:val="0"/>
      </w:pPr>
      <w:r>
        <w:rPr>
          <w:lang w:val="es"/>
          <w:b w:val="0"/>
          <w:bCs w:val="0"/>
          <w:i w:val="0"/>
          <w:iCs w:val="0"/>
          <w:u w:val="none"/>
          <w:vertAlign w:val="baseline"/>
          <w:rtl w:val="0"/>
        </w:rPr>
        <w:t xml:space="preserve">Entender cómo se separan los impuestos estatales y locales es un asunto complicado. Una parte de los impuestos que usted gasta se utiliza tanto a nivel local como estatal. Esto se denomina </w:t>
      </w:r>
      <w:r>
        <w:rPr>
          <w:lang w:val="es"/>
          <w:b w:val="1"/>
          <w:bCs w:val="1"/>
          <w:i w:val="0"/>
          <w:iCs w:val="0"/>
          <w:u w:val="none"/>
          <w:vertAlign w:val="baseline"/>
          <w:rtl w:val="0"/>
        </w:rPr>
        <w:t xml:space="preserve">ingresos intergubernamentales </w:t>
      </w:r>
      <w:r>
        <w:rPr>
          <w:lang w:val="es"/>
          <w:b w:val="0"/>
          <w:bCs w:val="0"/>
          <w:i w:val="0"/>
          <w:iCs w:val="0"/>
          <w:u w:val="none"/>
          <w:vertAlign w:val="baseline"/>
          <w:rtl w:val="0"/>
        </w:rPr>
        <w:t xml:space="preserve">porque tanto el Estado como la administración local reciben un porcentaje de los mismos impuestos. Por ejemplo, una parte de los impuestos locales sobre las ventas se comparte con el gobierno estatal para beneficiar a todos los ciudadanos de Oklahoma.</w:t>
      </w:r>
    </w:p>
    <w:p w:rsidR="003D0A76" w:rsidRPr="00D10784" w:rsidRDefault="00756C17" w:rsidP="00D10784">
      <w:pPr>
        <w:spacing w:line="276" w:lineRule="auto"/>
        <w:bidi w:val="0"/>
      </w:pPr>
      <w:r>
        <w:rPr>
          <w:lang w:val="es"/>
          <w:b w:val="0"/>
          <w:bCs w:val="0"/>
          <w:i w:val="0"/>
          <w:iCs w:val="0"/>
          <w:u w:val="none"/>
          <w:vertAlign w:val="baseline"/>
          <w:rtl w:val="0"/>
        </w:rPr>
        <w:t xml:space="preserve">El estado de Oklahoma tiene tanto zonas </w:t>
      </w:r>
      <w:r>
        <w:rPr>
          <w:lang w:val="es"/>
          <w:b w:val="1"/>
          <w:bCs w:val="1"/>
          <w:i w:val="0"/>
          <w:iCs w:val="0"/>
          <w:u w:val="none"/>
          <w:vertAlign w:val="baseline"/>
          <w:rtl w:val="0"/>
        </w:rPr>
        <w:t xml:space="preserve">metropolitanas</w:t>
      </w:r>
      <w:r>
        <w:rPr>
          <w:lang w:val="es"/>
          <w:b w:val="0"/>
          <w:bCs w:val="0"/>
          <w:i w:val="0"/>
          <w:iCs w:val="0"/>
          <w:u w:val="none"/>
          <w:vertAlign w:val="baseline"/>
          <w:rtl w:val="0"/>
        </w:rPr>
        <w:t xml:space="preserve"> como </w:t>
      </w:r>
      <w:r>
        <w:rPr>
          <w:lang w:val="es"/>
          <w:b w:val="1"/>
          <w:bCs w:val="1"/>
          <w:i w:val="0"/>
          <w:iCs w:val="0"/>
          <w:u w:val="none"/>
          <w:vertAlign w:val="baseline"/>
          <w:rtl w:val="0"/>
        </w:rPr>
        <w:t xml:space="preserve">rurales</w:t>
      </w:r>
      <w:r>
        <w:rPr>
          <w:lang w:val="es"/>
          <w:b w:val="0"/>
          <w:bCs w:val="0"/>
          <w:i w:val="0"/>
          <w:iCs w:val="0"/>
          <w:u w:val="none"/>
          <w:vertAlign w:val="baseline"/>
          <w:rtl w:val="0"/>
        </w:rPr>
        <w:t xml:space="preserve">, por lo que los impuestos suelen ser recaudados y declarados por los condados. Los hospitales del condado son los que más </w:t>
      </w:r>
      <w:r>
        <w:rPr>
          <w:lang w:val="es"/>
          <w:b w:val="1"/>
          <w:bCs w:val="1"/>
          <w:i w:val="0"/>
          <w:iCs w:val="0"/>
          <w:u w:val="none"/>
          <w:vertAlign w:val="baseline"/>
          <w:rtl w:val="0"/>
        </w:rPr>
        <w:t xml:space="preserve">ingresos </w:t>
      </w:r>
      <w:r>
        <w:rPr>
          <w:lang w:val="es"/>
          <w:b w:val="0"/>
          <w:bCs w:val="0"/>
          <w:i w:val="0"/>
          <w:iCs w:val="0"/>
          <w:u w:val="none"/>
          <w:vertAlign w:val="baseline"/>
          <w:rtl w:val="0"/>
        </w:rPr>
        <w:t xml:space="preserve">generan para el condado gracias a las tarifas de los usuarios. Ingreso es todo aquello creado a nivel local, estatal o federal que se utiliza para apoyar los servicios y programas públicos. Otra gran fuente de ingresos para las administraciones locales son los impuestos sobre la propiedad. Los impuestos sobre la propiedad se calculan en función del valor de la propiedad y de su ubicación. Algunos condados tienen impuestos sobre la propiedad más altos que otros.</w:t>
      </w:r>
    </w:p>
    <w:p w:rsidR="00C76F38" w:rsidRPr="00D10784" w:rsidRDefault="00C76F38" w:rsidP="00D10784">
      <w:pPr>
        <w:spacing w:line="276" w:lineRule="auto"/>
        <w:bidi w:val="0"/>
      </w:pPr>
      <w:r>
        <w:rPr>
          <w:lang w:val="es"/>
          <w:b w:val="0"/>
          <w:bCs w:val="0"/>
          <w:i w:val="0"/>
          <w:iCs w:val="0"/>
          <w:u w:val="none"/>
          <w:vertAlign w:val="baseline"/>
          <w:rtl w:val="0"/>
        </w:rPr>
        <w:t xml:space="preserve">Además de los impuestos sobre las ventas, las ciudades y pueblos cobran tasas por el uso del agua, la electricidad o el gas, el alcantarillado y los servicios de basura. La mayoría de los impuestos que se recaudan (con la excepción de los impuestos sobre la propiedad) se denominan </w:t>
      </w:r>
      <w:r>
        <w:rPr>
          <w:lang w:val="es"/>
          <w:b w:val="1"/>
          <w:bCs w:val="1"/>
          <w:i w:val="0"/>
          <w:iCs w:val="0"/>
          <w:u w:val="none"/>
          <w:vertAlign w:val="baseline"/>
          <w:rtl w:val="0"/>
        </w:rPr>
        <w:t xml:space="preserve">impuestos regresivos, </w:t>
      </w:r>
      <w:r>
        <w:rPr>
          <w:lang w:val="es"/>
          <w:b w:val="0"/>
          <w:bCs w:val="0"/>
          <w:i w:val="0"/>
          <w:iCs w:val="0"/>
          <w:u w:val="none"/>
          <w:vertAlign w:val="baseline"/>
          <w:rtl w:val="0"/>
        </w:rPr>
        <w:t xml:space="preserve">es decir, </w:t>
      </w:r>
      <w:r>
        <w:rPr>
          <w:lang w:val="es"/>
          <w:b w:val="1"/>
          <w:bCs w:val="1"/>
          <w:i w:val="0"/>
          <w:iCs w:val="0"/>
          <w:u w:val="none"/>
          <w:vertAlign w:val="baseline"/>
          <w:rtl w:val="0"/>
        </w:rPr>
        <w:t xml:space="preserve">se recauda esencialmente la misma cantidad, independientemente de si una persona tiene una renta baja o alta.</w:t>
      </w:r>
      <w:r>
        <w:rPr>
          <w:lang w:val="es"/>
          <w:b w:val="0"/>
          <w:bCs w:val="0"/>
          <w:i w:val="0"/>
          <w:iCs w:val="0"/>
          <w:u w:val="none"/>
          <w:vertAlign w:val="baseline"/>
          <w:rtl w:val="0"/>
        </w:rPr>
        <w:t xml:space="preserve"> Por ejemplo, la factura mensual del agua y los impuestos que se cobran por ella se basan en la cantidad de agua que ha utilizado el contribuyente, no en si la persona tiene una renta baja o alta. El impuesto sobre las ventas de comestibles sigue siendo el mismo porcentaje, independientemente de los ingresos, y se calcula en función de la cantidad que compran los clientes. </w:t>
      </w:r>
    </w:p>
    <w:p w:rsidR="00460D5F" w:rsidRPr="00D10784" w:rsidRDefault="006816BA" w:rsidP="00D10784">
      <w:pPr>
        <w:spacing w:line="276" w:lineRule="auto"/>
        <w:bidi w:val="0"/>
      </w:pPr>
      <w:r>
        <w:rPr>
          <w:lang w:val="es"/>
          <w:b w:val="0"/>
          <w:bCs w:val="0"/>
          <w:i w:val="0"/>
          <w:iCs w:val="0"/>
          <w:u w:val="none"/>
          <w:vertAlign w:val="baseline"/>
          <w:rtl w:val="0"/>
        </w:rPr>
        <w:t xml:space="preserve">Estos ingresos se utilizan para apoyar los servicios de la administración local. Los servicios varían mucho según el tamaño de la ciudad o pueblo, el dinero disponible y los deseos de la comunidad. La mayoría de los servicios municipales incluyen la protección de la policía local, los bomberos y los servicios de emergencia, el agua, el alcantarillado, la recogida de basuras, la construcción y reparación de calles locales, los parques y las zonas de recreo, las bibliotecas y los refugios para animales. </w:t>
      </w:r>
    </w:p>
    <w:p w:rsidR="006816BA" w:rsidRPr="00D10784" w:rsidRDefault="00460D5F" w:rsidP="00D10784">
      <w:pPr>
        <w:spacing w:line="276" w:lineRule="auto"/>
        <w:bidi w:val="0"/>
      </w:pPr>
      <w:r>
        <w:rPr>
          <w:lang w:val="es"/>
          <w:b w:val="0"/>
          <w:bCs w:val="0"/>
          <w:i w:val="0"/>
          <w:iCs w:val="0"/>
          <w:u w:val="none"/>
          <w:vertAlign w:val="baseline"/>
          <w:rtl w:val="0"/>
        </w:rPr>
        <w:t xml:space="preserve">Los impuestos sobre la propiedad son una importante fuente de ingresos para las escuelas locales, la formación profesional y/o técnica, las bibliotecas y el gobierno de la ciudad y el condado. Como en la mayoría de los estados de Estados Unidos, los impuestos sobre la propiedad son la columna vertebral de la financiación de la administración local y las escuelas. El impuesto sobre la propiedad de Oklahoma (con algunos cambios) ha cumplido esta función básica desde la creación del estado.</w:t>
      </w:r>
      <w:r>
        <w:rPr>
          <w:lang w:val="es"/>
          <w:b w:val="0"/>
          <w:bCs w:val="0"/>
          <w:i w:val="0"/>
          <w:iCs w:val="0"/>
          <w:u w:val="none"/>
          <w:vertAlign w:val="baseline"/>
          <w:rtl w:val="0"/>
        </w:rPr>
        <w:br w:type="textWrapping"/>
      </w:r>
      <w:r>
        <w:rPr>
          <w:lang w:val="es"/>
          <w:b w:val="0"/>
          <w:bCs w:val="0"/>
          <w:i w:val="0"/>
          <w:iCs w:val="0"/>
          <w:u w:val="none"/>
          <w:vertAlign w:val="baseline"/>
          <w:rtl w:val="0"/>
        </w:rPr>
        <w:br w:type="textWrapping"/>
      </w:r>
      <w:r>
        <w:rPr>
          <w:lang w:val="es"/>
          <w:b w:val="0"/>
          <w:bCs w:val="0"/>
          <w:i w:val="0"/>
          <w:iCs w:val="0"/>
          <w:u w:val="none"/>
          <w:vertAlign w:val="baseline"/>
          <w:rtl w:val="0"/>
        </w:rPr>
        <w:t xml:space="preserve">Generalmente, las escuelas locales reciben la mayor parte del impuesto sobre la propiedad. Al gasto en escuelas le siguen las emisiones de bonos de la ciudad, el gobierno del condado, las escuelas profesionales y/o técnicas, las bibliotecas y los departamentos de salud de la ciudad y del condado.</w:t>
      </w:r>
      <w:r>
        <w:rPr>
          <w:lang w:val="es"/>
          <w:b w:val="0"/>
          <w:bCs w:val="0"/>
          <w:i w:val="0"/>
          <w:iCs w:val="0"/>
          <w:u w:val="none"/>
          <w:vertAlign w:val="baseline"/>
          <w:rtl w:val="0"/>
        </w:rPr>
        <w:br w:type="textWrapping"/>
      </w:r>
      <w:r>
        <w:rPr>
          <w:lang w:val="es"/>
          <w:b w:val="0"/>
          <w:bCs w:val="0"/>
          <w:i w:val="0"/>
          <w:iCs w:val="0"/>
          <w:u w:val="none"/>
          <w:vertAlign w:val="baseline"/>
          <w:rtl w:val="0"/>
        </w:rPr>
        <w:br w:type="textWrapping"/>
      </w:r>
      <w:r>
        <w:rPr>
          <w:lang w:val="es"/>
          <w:b w:val="0"/>
          <w:bCs w:val="0"/>
          <w:i w:val="0"/>
          <w:iCs w:val="0"/>
          <w:u w:val="none"/>
          <w:vertAlign w:val="baseline"/>
          <w:rtl w:val="0"/>
        </w:rPr>
        <w:t xml:space="preserve">Además de proporcionar los servicios necesarios a los residentes, algunos dólares de ingresos se gastan en hacer cumplir los códigos de construcción, los requisitos de estacionamiento y las </w:t>
      </w:r>
      <w:r>
        <w:rPr>
          <w:lang w:val="es"/>
          <w:b w:val="1"/>
          <w:bCs w:val="1"/>
          <w:i w:val="0"/>
          <w:iCs w:val="0"/>
          <w:u w:val="none"/>
          <w:vertAlign w:val="baseline"/>
          <w:rtl w:val="0"/>
        </w:rPr>
        <w:t xml:space="preserve">ordenanzas </w:t>
      </w:r>
      <w:r>
        <w:rPr>
          <w:lang w:val="es"/>
          <w:b w:val="0"/>
          <w:bCs w:val="0"/>
          <w:i w:val="0"/>
          <w:iCs w:val="0"/>
          <w:u w:val="none"/>
          <w:vertAlign w:val="baseline"/>
          <w:rtl w:val="0"/>
        </w:rPr>
        <w:t xml:space="preserve">de la ciudad (o los requisitos de la ciudad para vivir dentro de los límites de la ciudad). Normalmente, estas ordenanzas municipales han sido aprobadas por el ayuntamiento o votadas por los ciudadanos locales. Por ejemplo, si una ordenanza de la ciudad permite que ningún residente tenga animales de corral viviendo en su patio trasero, entonces algunos impuestos locales pagan para que se aplique esta ordenanza. Las ciudades y pueblos quieren mantener sus servicios y su atractivo para animar a nuevas personas a vivir allí. En los últimos años, los habitantes de Oklahoma City han votado y aprobado un impuesto de ventas adicional de un céntimo para crear nuevas zonas turísticas, como Bricktown, y mejorar las instalaciones escolares locales. </w:t>
      </w:r>
    </w:p>
    <w:p w:rsidR="0003530E" w:rsidRPr="00EE6609" w:rsidRDefault="0003530E" w:rsidP="00D10784">
      <w:pPr>
        <w:spacing w:line="276" w:lineRule="auto"/>
        <w:rPr>
          <w:b/>
          <w:color w:val="3E5C61" w:themeColor="accent6"/>
          <w:sz w:val="18"/>
          <w:szCs w:val="18"/>
        </w:rPr>
        <w:bidi w:val="0"/>
      </w:pPr>
      <w:r>
        <w:rPr>
          <w:color w:val="3E5C61" w:themeColor="accent6"/>
          <w:sz w:val="18"/>
          <w:szCs w:val="18"/>
          <w:lang w:val="es"/>
          <w:b w:val="1"/>
          <w:bCs w:val="1"/>
          <w:i w:val="0"/>
          <w:iCs w:val="0"/>
          <w:u w:val="none"/>
          <w:vertAlign w:val="baseline"/>
          <w:rtl w:val="0"/>
        </w:rPr>
        <w:t xml:space="preserve">Fuentes:</w:t>
      </w:r>
    </w:p>
    <w:p w:rsidR="0003530E" w:rsidRPr="00EE6609" w:rsidRDefault="00EE6609" w:rsidP="00D10784">
      <w:pPr>
        <w:spacing w:line="276" w:lineRule="auto"/>
        <w:rPr>
          <w:i/>
          <w:color w:val="3E5C61" w:themeColor="accent6"/>
          <w:sz w:val="18"/>
          <w:szCs w:val="18"/>
        </w:rPr>
        <w:bidi w:val="0"/>
      </w:pPr>
      <w:r>
        <w:rPr>
          <w:color w:val="3E5C61" w:themeColor="accent6"/>
          <w:sz w:val="18"/>
          <w:szCs w:val="18"/>
          <w:lang w:val="es"/>
          <w:b w:val="0"/>
          <w:bCs w:val="0"/>
          <w:i w:val="1"/>
          <w:iCs w:val="1"/>
          <w:u w:val="none"/>
          <w:vertAlign w:val="baseline"/>
          <w:rtl w:val="0"/>
        </w:rPr>
        <w:t xml:space="preserve">Instituto de Política de Oklahoma. </w:t>
      </w:r>
      <w:r>
        <w:rPr>
          <w:color w:val="3E5C61" w:themeColor="accent6"/>
          <w:sz w:val="18"/>
          <w:szCs w:val="18"/>
          <w:lang w:val="es"/>
          <w:b w:val="0"/>
          <w:bCs w:val="0"/>
          <w:i w:val="1"/>
          <w:iCs w:val="1"/>
          <w:u w:val="none"/>
          <w:vertAlign w:val="baseline"/>
          <w:rtl w:val="0"/>
        </w:rPr>
        <w:t xml:space="preserve">(2017). </w:t>
      </w:r>
      <w:r>
        <w:rPr>
          <w:color w:val="3E5C61" w:themeColor="accent6"/>
          <w:sz w:val="18"/>
          <w:szCs w:val="18"/>
          <w:lang w:val="es"/>
          <w:b w:val="0"/>
          <w:bCs w:val="0"/>
          <w:i w:val="1"/>
          <w:iCs w:val="1"/>
          <w:u w:val="none"/>
          <w:vertAlign w:val="baseline"/>
          <w:rtl w:val="0"/>
        </w:rPr>
        <w:t xml:space="preserve">Ingresos de los gobiernos locales. </w:t>
      </w:r>
      <w:r>
        <w:rPr>
          <w:color w:val="3E5C61" w:themeColor="accent6"/>
          <w:sz w:val="18"/>
          <w:szCs w:val="18"/>
          <w:lang w:val="es"/>
          <w:b w:val="0"/>
          <w:bCs w:val="0"/>
          <w:i w:val="1"/>
          <w:iCs w:val="1"/>
          <w:u w:val="none"/>
          <w:vertAlign w:val="baseline"/>
          <w:rtl w:val="0"/>
        </w:rPr>
        <w:t xml:space="preserve">En la Guía Presupuestaria Online de OKPolicy.org. </w:t>
      </w:r>
      <w:r>
        <w:rPr>
          <w:color w:val="3E5C61" w:themeColor="accent6"/>
          <w:sz w:val="18"/>
          <w:szCs w:val="18"/>
          <w:lang w:val="es"/>
          <w:b w:val="0"/>
          <w:bCs w:val="0"/>
          <w:i w:val="1"/>
          <w:iCs w:val="1"/>
          <w:u w:val="none"/>
          <w:vertAlign w:val="baseline"/>
          <w:rtl w:val="0"/>
        </w:rPr>
        <w:t xml:space="preserve">Extraído de http://okpolicy.org/resources/online-budget-guide/revenues/local-government-revenues/</w:t>
      </w:r>
    </w:p>
    <w:p w:rsidR="00EE6609" w:rsidRPr="00EE6609" w:rsidRDefault="00EE6609" w:rsidP="00D10784">
      <w:pPr>
        <w:spacing w:line="276" w:lineRule="auto"/>
        <w:rPr>
          <w:i/>
          <w:color w:val="3E5C61" w:themeColor="accent6"/>
          <w:sz w:val="18"/>
          <w:szCs w:val="18"/>
        </w:rPr>
        <w:bidi w:val="0"/>
      </w:pPr>
      <w:r>
        <w:rPr>
          <w:color w:val="3E5C61" w:themeColor="accent6"/>
          <w:sz w:val="18"/>
          <w:szCs w:val="18"/>
          <w:lang w:val="es"/>
          <w:b w:val="0"/>
          <w:bCs w:val="0"/>
          <w:i w:val="1"/>
          <w:iCs w:val="1"/>
          <w:u w:val="none"/>
          <w:vertAlign w:val="baseline"/>
          <w:rtl w:val="0"/>
        </w:rPr>
        <w:t xml:space="preserve">Instituto de Política de Oklahoma. </w:t>
      </w:r>
      <w:r>
        <w:rPr>
          <w:color w:val="3E5C61" w:themeColor="accent6"/>
          <w:sz w:val="18"/>
          <w:szCs w:val="18"/>
          <w:lang w:val="es"/>
          <w:b w:val="0"/>
          <w:bCs w:val="0"/>
          <w:i w:val="1"/>
          <w:iCs w:val="1"/>
          <w:u w:val="none"/>
          <w:vertAlign w:val="baseline"/>
          <w:rtl w:val="0"/>
        </w:rPr>
        <w:t xml:space="preserve">(2017). </w:t>
      </w:r>
      <w:r>
        <w:rPr>
          <w:color w:val="3E5C61" w:themeColor="accent6"/>
          <w:sz w:val="18"/>
          <w:szCs w:val="18"/>
          <w:lang w:val="es"/>
          <w:b w:val="0"/>
          <w:bCs w:val="0"/>
          <w:i w:val="1"/>
          <w:iCs w:val="1"/>
          <w:u w:val="none"/>
          <w:vertAlign w:val="baseline"/>
          <w:rtl w:val="0"/>
        </w:rPr>
        <w:t xml:space="preserve">Características regresivas del sistema fiscal. </w:t>
      </w:r>
      <w:r>
        <w:rPr>
          <w:color w:val="3E5C61" w:themeColor="accent6"/>
          <w:sz w:val="18"/>
          <w:szCs w:val="18"/>
          <w:lang w:val="es"/>
          <w:b w:val="0"/>
          <w:bCs w:val="0"/>
          <w:i w:val="1"/>
          <w:iCs w:val="1"/>
          <w:u w:val="none"/>
          <w:vertAlign w:val="baseline"/>
          <w:rtl w:val="0"/>
        </w:rPr>
        <w:t xml:space="preserve">En la Guía Presupuestaria Online de OKPolicy.org. </w:t>
      </w:r>
      <w:r>
        <w:rPr>
          <w:color w:val="3E5C61" w:themeColor="accent6"/>
          <w:sz w:val="18"/>
          <w:szCs w:val="18"/>
          <w:lang w:val="es"/>
          <w:b w:val="0"/>
          <w:bCs w:val="0"/>
          <w:i w:val="1"/>
          <w:iCs w:val="1"/>
          <w:u w:val="none"/>
          <w:vertAlign w:val="baseline"/>
          <w:rtl w:val="0"/>
        </w:rPr>
        <w:t xml:space="preserve">Extraído de http://okpolicy.org/resources/online-budget-guide/policy-challenges-we-face/tax-fairness/regressive-features-of-the-tax-system/</w:t>
      </w:r>
    </w:p>
    <w:p w:rsidR="00EE6609" w:rsidRPr="00EE6609" w:rsidRDefault="00EE6609" w:rsidP="00D10784">
      <w:pPr>
        <w:spacing w:line="276" w:lineRule="auto"/>
        <w:rPr>
          <w:i/>
          <w:color w:val="3E5C61" w:themeColor="accent6"/>
          <w:sz w:val="18"/>
          <w:szCs w:val="18"/>
        </w:rPr>
        <w:bidi w:val="0"/>
      </w:pPr>
      <w:r>
        <w:rPr>
          <w:color w:val="3E5C61" w:themeColor="accent6"/>
          <w:sz w:val="18"/>
          <w:szCs w:val="18"/>
          <w:lang w:val="es"/>
          <w:b w:val="0"/>
          <w:bCs w:val="0"/>
          <w:i w:val="1"/>
          <w:iCs w:val="1"/>
          <w:u w:val="none"/>
          <w:vertAlign w:val="baseline"/>
          <w:rtl w:val="0"/>
        </w:rPr>
        <w:t xml:space="preserve">Instituto de Política de Oklahoma. </w:t>
      </w:r>
      <w:r>
        <w:rPr>
          <w:color w:val="3E5C61" w:themeColor="accent6"/>
          <w:sz w:val="18"/>
          <w:szCs w:val="18"/>
          <w:lang w:val="es"/>
          <w:b w:val="0"/>
          <w:bCs w:val="0"/>
          <w:i w:val="1"/>
          <w:iCs w:val="1"/>
          <w:u w:val="none"/>
          <w:vertAlign w:val="baseline"/>
          <w:rtl w:val="0"/>
        </w:rPr>
        <w:t xml:space="preserve">(2017). </w:t>
      </w:r>
      <w:r>
        <w:rPr>
          <w:color w:val="3E5C61" w:themeColor="accent6"/>
          <w:sz w:val="18"/>
          <w:szCs w:val="18"/>
          <w:lang w:val="es"/>
          <w:b w:val="0"/>
          <w:bCs w:val="0"/>
          <w:i w:val="1"/>
          <w:iCs w:val="1"/>
          <w:u w:val="none"/>
          <w:vertAlign w:val="baseline"/>
          <w:rtl w:val="0"/>
        </w:rPr>
        <w:t xml:space="preserve">Ingresos totales de los gobiernos de Oklahoma. </w:t>
      </w:r>
      <w:r>
        <w:rPr>
          <w:color w:val="3E5C61" w:themeColor="accent6"/>
          <w:sz w:val="18"/>
          <w:szCs w:val="18"/>
          <w:lang w:val="es"/>
          <w:b w:val="0"/>
          <w:bCs w:val="0"/>
          <w:i w:val="1"/>
          <w:iCs w:val="1"/>
          <w:u w:val="none"/>
          <w:vertAlign w:val="baseline"/>
          <w:rtl w:val="0"/>
        </w:rPr>
        <w:t xml:space="preserve">En la Guía Presupuestaria Online de OKPolicy.org. </w:t>
      </w:r>
      <w:r>
        <w:rPr>
          <w:color w:val="3E5C61" w:themeColor="accent6"/>
          <w:sz w:val="18"/>
          <w:szCs w:val="18"/>
          <w:lang w:val="es"/>
          <w:b w:val="0"/>
          <w:bCs w:val="0"/>
          <w:i w:val="1"/>
          <w:iCs w:val="1"/>
          <w:u w:val="none"/>
          <w:vertAlign w:val="baseline"/>
          <w:rtl w:val="0"/>
        </w:rPr>
        <w:t xml:space="preserve">Extraído de http://okpolicy.org/resources/online-budget-guide/revenues/total-revenues-of-oklahoma-governments/</w:t>
      </w:r>
    </w:p>
    <w:p w:rsidR="009F1531" w:rsidRPr="00EE6609" w:rsidRDefault="00EE6609" w:rsidP="00D10784">
      <w:pPr>
        <w:spacing w:line="276" w:lineRule="auto"/>
        <w:rPr>
          <w:i/>
          <w:color w:val="3E5C61" w:themeColor="accent6"/>
          <w:sz w:val="18"/>
          <w:szCs w:val="18"/>
        </w:rPr>
        <w:bidi w:val="0"/>
      </w:pPr>
      <w:r>
        <w:rPr>
          <w:color w:val="3E5C61" w:themeColor="accent6"/>
          <w:sz w:val="18"/>
          <w:szCs w:val="18"/>
          <w:lang w:val="es"/>
          <w:b w:val="0"/>
          <w:bCs w:val="0"/>
          <w:i w:val="1"/>
          <w:iCs w:val="1"/>
          <w:u w:val="none"/>
          <w:vertAlign w:val="baseline"/>
          <w:rtl w:val="0"/>
        </w:rPr>
        <w:t xml:space="preserve">Comisión de Impuestos de Oklahoma. </w:t>
      </w:r>
      <w:r>
        <w:rPr>
          <w:color w:val="3E5C61" w:themeColor="accent6"/>
          <w:sz w:val="18"/>
          <w:szCs w:val="18"/>
          <w:lang w:val="es"/>
          <w:b w:val="0"/>
          <w:bCs w:val="0"/>
          <w:i w:val="1"/>
          <w:iCs w:val="1"/>
          <w:u w:val="none"/>
          <w:vertAlign w:val="baseline"/>
          <w:rtl w:val="0"/>
        </w:rPr>
        <w:t xml:space="preserve">(2017). </w:t>
      </w:r>
      <w:r>
        <w:rPr>
          <w:color w:val="3E5C61" w:themeColor="accent6"/>
          <w:sz w:val="18"/>
          <w:szCs w:val="18"/>
          <w:lang w:val="es"/>
          <w:b w:val="0"/>
          <w:bCs w:val="0"/>
          <w:i w:val="1"/>
          <w:iCs w:val="1"/>
          <w:u w:val="none"/>
          <w:vertAlign w:val="baseline"/>
          <w:rtl w:val="0"/>
        </w:rPr>
        <w:t xml:space="preserve">Impuestos sobre la propiedad en Oklahoma 2017: Derechos, recursos y responsabilidades de los contribuyentes. </w:t>
      </w:r>
      <w:r>
        <w:rPr>
          <w:color w:val="3E5C61" w:themeColor="accent6"/>
          <w:sz w:val="18"/>
          <w:szCs w:val="18"/>
          <w:lang w:val="es"/>
          <w:b w:val="0"/>
          <w:bCs w:val="0"/>
          <w:i w:val="1"/>
          <w:iCs w:val="1"/>
          <w:u w:val="none"/>
          <w:vertAlign w:val="baseline"/>
          <w:rtl w:val="0"/>
        </w:rPr>
        <w:t xml:space="preserve">Serie de Educación del Contribuyente. </w:t>
      </w:r>
      <w:r>
        <w:rPr>
          <w:color w:val="3E5C61" w:themeColor="accent6"/>
          <w:sz w:val="18"/>
          <w:szCs w:val="18"/>
          <w:lang w:val="es"/>
          <w:b w:val="0"/>
          <w:bCs w:val="0"/>
          <w:i w:val="1"/>
          <w:iCs w:val="1"/>
          <w:u w:val="none"/>
          <w:vertAlign w:val="baseline"/>
          <w:rtl w:val="0"/>
        </w:rPr>
        <w:t xml:space="preserve">Extraído de https://www.ok.gov/tax/documents/TES-14.pdf</w:t>
      </w:r>
    </w:p>
    <w:p w:rsidR="0003530E" w:rsidRPr="00D10784" w:rsidRDefault="0003530E" w:rsidP="00D10784">
      <w:pPr>
        <w:spacing w:line="276" w:lineRule="auto"/>
      </w:pPr>
    </w:p>
    <w:sectPr w:rsidR="0003530E" w:rsidRPr="00D10784" w:rsidSect="00D10784">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969" w:rsidRDefault="00360969" w:rsidP="00917071">
      <w:pPr>
        <w:spacing w:after="0" w:line="240" w:lineRule="auto"/>
      </w:pPr>
      <w:r>
        <w:separator/>
      </w:r>
    </w:p>
  </w:endnote>
  <w:endnote w:type="continuationSeparator" w:id="0">
    <w:p w:rsidR="00360969" w:rsidRDefault="00360969" w:rsidP="0091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071" w:rsidRPr="00EE6609" w:rsidRDefault="00917071" w:rsidP="00EE6609">
    <w:pPr>
      <w:pStyle w:val="Footer"/>
      <w:tabs>
        <w:tab w:val="clear" w:pos="9360"/>
      </w:tabs>
      <w:ind w:right="900"/>
      <w:jc w:val="right"/>
      <w:rPr>
        <w:b/>
      </w:rPr>
      <w:bidi w:val="0"/>
    </w:pPr>
    <w:r>
      <w:rPr>
        <w:noProof/>
        <w:color w:val="313131" w:themeColor="accent4" w:themeShade="80"/>
        <w:lang w:val="es"/>
        <w:b w:val="0"/>
        <w:bCs w:val="0"/>
        <w:i w:val="0"/>
        <w:iCs w:val="0"/>
        <w:u w:val="none"/>
        <w:vertAlign w:val="baseline"/>
        <w:rtl w:val="0"/>
      </w:rPr>
      <w:drawing>
        <wp:anchor distT="0" distB="0" distL="114300" distR="114300" simplePos="0" relativeHeight="251659264" behindDoc="1" locked="0" layoutInCell="1" allowOverlap="1" wp14:anchorId="11674CE4" wp14:editId="42FD84CB">
          <wp:simplePos x="0" y="0"/>
          <wp:positionH relativeFrom="margin">
            <wp:align>right</wp:align>
          </wp:positionH>
          <wp:positionV relativeFrom="paragraph">
            <wp:posOffset>7813</wp:posOffset>
          </wp:positionV>
          <wp:extent cx="4572000" cy="3168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color w:val="313131" w:themeColor="accent4" w:themeShade="80"/>
        <w:lang w:val="es"/>
        <w:b w:val="1"/>
        <w:bCs w:val="1"/>
        <w:i w:val="0"/>
        <w:iCs w:val="0"/>
        <w:u w:val="none"/>
        <w:vertAlign w:val="baseline"/>
        <w:rtl w:val="0"/>
      </w:rPr>
      <w:t xml:space="preserve">WHY DO WE PAY TAXES?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609" w:rsidRPr="00EE6609" w:rsidRDefault="00EE6609" w:rsidP="00EE6609">
    <w:pPr>
      <w:pStyle w:val="Footer"/>
      <w:tabs>
        <w:tab w:val="clear" w:pos="4680"/>
        <w:tab w:val="clear" w:pos="9360"/>
        <w:tab w:val="left" w:pos="8124"/>
      </w:tabs>
      <w:ind w:right="1620"/>
      <w:jc w:val="right"/>
      <w:rPr>
        <w:b/>
      </w:rPr>
      <w:bidi w:val="0"/>
    </w:pPr>
    <w:r>
      <w:rPr>
        <w:noProof/>
        <w:color w:val="313131" w:themeColor="accent4" w:themeShade="80"/>
        <w:lang w:val="es"/>
        <w:b w:val="0"/>
        <w:bCs w:val="0"/>
        <w:i w:val="0"/>
        <w:iCs w:val="0"/>
        <w:u w:val="none"/>
        <w:vertAlign w:val="baseline"/>
        <w:rtl w:val="0"/>
      </w:rPr>
      <w:drawing>
        <wp:anchor distT="0" distB="0" distL="114300" distR="114300" simplePos="0" relativeHeight="251661312" behindDoc="1" locked="0" layoutInCell="1" allowOverlap="1" wp14:anchorId="5F15617E" wp14:editId="524A0174">
          <wp:simplePos x="0" y="0"/>
          <wp:positionH relativeFrom="margin">
            <wp:posOffset>914400</wp:posOffset>
          </wp:positionH>
          <wp:positionV relativeFrom="paragraph">
            <wp:posOffset>-60960</wp:posOffset>
          </wp:positionV>
          <wp:extent cx="4572000" cy="3168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color w:val="313131" w:themeColor="accent4" w:themeShade="80"/>
        <w:lang w:val="es"/>
        <w:b w:val="1"/>
        <w:bCs w:val="1"/>
        <w:i w:val="0"/>
        <w:iCs w:val="0"/>
        <w:u w:val="none"/>
        <w:vertAlign w:val="baseline"/>
        <w:rtl w:val="0"/>
      </w:rPr>
      <w:t xml:space="preserve">WHY DO WE PAY TAXES?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969" w:rsidRDefault="00360969" w:rsidP="00917071">
      <w:pPr>
        <w:spacing w:after="0" w:line="240" w:lineRule="auto"/>
      </w:pPr>
      <w:r>
        <w:separator/>
      </w:r>
    </w:p>
  </w:footnote>
  <w:footnote w:type="continuationSeparator" w:id="0">
    <w:p w:rsidR="00360969" w:rsidRDefault="00360969" w:rsidP="00917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886115"/>
      <w:docPartObj>
        <w:docPartGallery w:val="Page Numbers (Top of Page)"/>
        <w:docPartUnique/>
      </w:docPartObj>
    </w:sdtPr>
    <w:sdtEndPr>
      <w:rPr>
        <w:noProof/>
      </w:rPr>
    </w:sdtEndPr>
    <w:sdtContent>
      <w:p w:rsidR="00D10784" w:rsidRDefault="00D10784">
        <w:pPr>
          <w:pStyle w:val="Header"/>
        </w:pPr>
      </w:p>
    </w:sdtContent>
  </w:sdt>
  <w:p w:rsidR="00D10784" w:rsidRDefault="00D10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64395"/>
      <w:docPartObj>
        <w:docPartGallery w:val="Page Numbers (Top of Page)"/>
        <w:docPartUnique/>
      </w:docPartObj>
    </w:sdtPr>
    <w:sdtEndPr>
      <w:rPr>
        <w:b/>
        <w:noProof/>
        <w:color w:val="313131" w:themeColor="accent4" w:themeShade="80"/>
        <w:sz w:val="28"/>
        <w:szCs w:val="28"/>
      </w:rPr>
    </w:sdtEndPr>
    <w:sdtContent>
      <w:p w:rsidR="00D10784" w:rsidRPr="00D10784" w:rsidRDefault="00D10784">
        <w:pPr>
          <w:pStyle w:val="Header"/>
          <w:rPr>
            <w:b/>
            <w:color w:val="313131" w:themeColor="accent4" w:themeShade="80"/>
            <w:sz w:val="28"/>
            <w:szCs w:val="28"/>
          </w:rPr>
          <w:bidi w:val="0"/>
        </w:pPr>
        <w:r>
          <w:rPr>
            <w:color w:val="313131" w:themeColor="accent4" w:themeShade="80"/>
            <w:sz w:val="28"/>
            <w:szCs w:val="28"/>
            <w:lang w:val="es"/>
            <w:b w:val="0"/>
            <w:bCs w:val="0"/>
            <w:i w:val="0"/>
            <w:iCs w:val="0"/>
            <w:u w:val="none"/>
            <w:vertAlign w:val="baseline"/>
            <w:rtl w:val="0"/>
          </w:rPr>
          <w:fldChar w:fldCharType="begin"/>
        </w:r>
        <w:r>
          <w:rPr>
            <w:color w:val="313131" w:themeColor="accent4" w:themeShade="80"/>
            <w:sz w:val="28"/>
            <w:szCs w:val="28"/>
            <w:lang w:val="es"/>
            <w:b w:val="0"/>
            <w:bCs w:val="0"/>
            <w:i w:val="0"/>
            <w:iCs w:val="0"/>
            <w:u w:val="none"/>
            <w:vertAlign w:val="baseline"/>
            <w:rtl w:val="0"/>
          </w:rPr>
          <w:instrText xml:space="preserve"> PAGE   \* MERGEFORMAT </w:instrText>
        </w:r>
        <w:r>
          <w:rPr>
            <w:color w:val="313131" w:themeColor="accent4" w:themeShade="80"/>
            <w:sz w:val="28"/>
            <w:szCs w:val="28"/>
            <w:lang w:val="es"/>
            <w:b w:val="0"/>
            <w:bCs w:val="0"/>
            <w:i w:val="0"/>
            <w:iCs w:val="0"/>
            <w:u w:val="none"/>
            <w:vertAlign w:val="baseline"/>
            <w:rtl w:val="0"/>
          </w:rPr>
          <w:fldChar w:fldCharType="separate"/>
        </w:r>
        <w:r>
          <w:rPr>
            <w:noProof/>
            <w:color w:val="313131" w:themeColor="accent4" w:themeShade="80"/>
            <w:sz w:val="28"/>
            <w:szCs w:val="28"/>
            <w:lang w:val="es"/>
            <w:b w:val="1"/>
            <w:bCs w:val="1"/>
            <w:i w:val="0"/>
            <w:iCs w:val="0"/>
            <w:u w:val="none"/>
            <w:vertAlign w:val="baseline"/>
            <w:rtl w:val="0"/>
          </w:rPr>
          <w:t xml:space="preserve">1</w:t>
        </w:r>
        <w:r>
          <w:rPr>
            <w:noProof/>
            <w:color w:val="313131" w:themeColor="accent4" w:themeShade="80"/>
            <w:sz w:val="28"/>
            <w:szCs w:val="28"/>
            <w:lang w:val="es"/>
            <w:b w:val="0"/>
            <w:bCs w:val="0"/>
            <w:i w:val="0"/>
            <w:iCs w:val="0"/>
            <w:u w:val="none"/>
            <w:vertAlign w:val="baseline"/>
            <w:rtl w:val="0"/>
          </w:rPr>
          <w:fldChar w:fldCharType="end"/>
        </w:r>
      </w:p>
    </w:sdtContent>
  </w:sdt>
  <w:p w:rsidR="00D10784" w:rsidRDefault="00D107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76"/>
    <w:rsid w:val="0003530E"/>
    <w:rsid w:val="002B07B1"/>
    <w:rsid w:val="002B38C1"/>
    <w:rsid w:val="00360969"/>
    <w:rsid w:val="003D0A76"/>
    <w:rsid w:val="00460D5F"/>
    <w:rsid w:val="006274E7"/>
    <w:rsid w:val="006816BA"/>
    <w:rsid w:val="006C4A3E"/>
    <w:rsid w:val="00756C17"/>
    <w:rsid w:val="00763173"/>
    <w:rsid w:val="00917071"/>
    <w:rsid w:val="009F1531"/>
    <w:rsid w:val="00A91867"/>
    <w:rsid w:val="00B9209D"/>
    <w:rsid w:val="00C76F38"/>
    <w:rsid w:val="00D10784"/>
    <w:rsid w:val="00EC4243"/>
    <w:rsid w:val="00EE6609"/>
    <w:rsid w:val="00F07C8B"/>
    <w:rsid w:val="00FA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5903C"/>
  <w15:chartTrackingRefBased/>
  <w15:docId w15:val="{180E3C5A-06D7-4446-A02D-1BAC794D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30E"/>
    <w:rPr>
      <w:color w:val="910D28" w:themeColor="hyperlink"/>
      <w:u w:val="single"/>
    </w:rPr>
  </w:style>
  <w:style w:type="paragraph" w:styleId="Header">
    <w:name w:val="header"/>
    <w:basedOn w:val="Normal"/>
    <w:link w:val="HeaderChar"/>
    <w:uiPriority w:val="99"/>
    <w:unhideWhenUsed/>
    <w:rsid w:val="00917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071"/>
  </w:style>
  <w:style w:type="paragraph" w:styleId="Footer">
    <w:name w:val="footer"/>
    <w:basedOn w:val="Normal"/>
    <w:link w:val="FooterChar"/>
    <w:uiPriority w:val="99"/>
    <w:unhideWhenUsed/>
    <w:rsid w:val="00917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071"/>
  </w:style>
  <w:style w:type="character" w:styleId="FollowedHyperlink">
    <w:name w:val="FollowedHyperlink"/>
    <w:basedOn w:val="DefaultParagraphFont"/>
    <w:uiPriority w:val="99"/>
    <w:semiHidden/>
    <w:unhideWhenUsed/>
    <w:rsid w:val="00EE6609"/>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2.xml" /></Relationships>
</file>

<file path=word/_rels/footer1.xml.rels><?xml version="1.0" encoding="UTF-8" standalone="yes"?>
<Relationships xmlns="http://schemas.openxmlformats.org/package/2006/relationships"><Relationship Id="rId1" Type="http://schemas.openxmlformats.org/officeDocument/2006/relationships/image" Target="media/image1.jpeg" /></Relationships>
</file>

<file path=word/_rels/footer2.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E5192-C1C8-4805-A13B-0CC39AD9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 Susan</dc:creator>
  <cp:keywords/>
  <dc:description/>
  <cp:lastModifiedBy>Schlasner, Jacqueline</cp:lastModifiedBy>
  <cp:revision>3</cp:revision>
  <dcterms:created xsi:type="dcterms:W3CDTF">2017-06-19T19:40:00Z</dcterms:created>
  <dcterms:modified xsi:type="dcterms:W3CDTF">2017-06-30T18:26:00Z</dcterms:modified>
</cp:coreProperties>
</file>