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8D" w:rsidRPr="00606935" w:rsidRDefault="00606935" w:rsidP="00606935">
      <w:pPr>
        <w:spacing w:line="276" w:lineRule="auto"/>
        <w:rPr>
          <w:b/>
          <w:color w:val="313131" w:themeColor="accent4" w:themeShade="80"/>
          <w:sz w:val="28"/>
          <w:szCs w:val="28"/>
        </w:rPr>
        <w:bidi w:val="0"/>
      </w:pPr>
      <w:r>
        <w:rPr>
          <w:color w:val="313131" w:themeColor="accent4" w:themeShade="80"/>
          <w:sz w:val="28"/>
          <w:szCs w:val="28"/>
          <w:lang w:val="es"/>
          <w:b w:val="1"/>
          <w:bCs w:val="1"/>
          <w:i w:val="0"/>
          <w:iCs w:val="0"/>
          <w:u w:val="none"/>
          <w:vertAlign w:val="baseline"/>
          <w:rtl w:val="0"/>
        </w:rPr>
        <w:t xml:space="preserve">¿ADÓNDE VAN NUESTROS IMPUESTOS ESTATALES?</w:t>
      </w:r>
    </w:p>
    <w:p w:rsidR="00713872" w:rsidRPr="00606935" w:rsidRDefault="004562BD" w:rsidP="00606935">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15 de abril de cada año, los ciudadanos y las empresas de Oklahoma pagan los impuestos estatales sobre la renta para financiar programas y servicios para todos los ciudadanos de Oklahoma. Esta sigue siendo la mayor fuente de </w:t>
      </w:r>
      <w:r>
        <w:rPr>
          <w:color w:val="313131" w:themeColor="accent4" w:themeShade="80"/>
          <w:lang w:val="es"/>
          <w:b w:val="1"/>
          <w:bCs w:val="1"/>
          <w:i w:val="0"/>
          <w:iCs w:val="0"/>
          <w:u w:val="none"/>
          <w:vertAlign w:val="baseline"/>
          <w:rtl w:val="0"/>
        </w:rPr>
        <w:t xml:space="preserve">ingresos</w:t>
      </w:r>
      <w:r>
        <w:rPr>
          <w:color w:val="313131" w:themeColor="accent4" w:themeShade="80"/>
          <w:lang w:val="es"/>
          <w:b w:val="0"/>
          <w:bCs w:val="0"/>
          <w:i w:val="0"/>
          <w:iCs w:val="0"/>
          <w:u w:val="none"/>
          <w:vertAlign w:val="baseline"/>
          <w:rtl w:val="0"/>
        </w:rPr>
        <w:t xml:space="preserve"> del Estado.</w:t>
      </w:r>
      <w:r>
        <w:rPr>
          <w:color w:val="313131" w:themeColor="accent4" w:themeShade="80"/>
          <w:lang w:val="es"/>
          <w:b w:val="1"/>
          <w:bCs w:val="1"/>
          <w:i w:val="0"/>
          <w:iCs w:val="0"/>
          <w:u w:val="none"/>
          <w:vertAlign w:val="baseline"/>
          <w:rtl w:val="0"/>
        </w:rPr>
        <w:t xml:space="preserve"> </w:t>
      </w:r>
      <w:r>
        <w:rPr>
          <w:color w:val="313131" w:themeColor="accent4" w:themeShade="80"/>
          <w:lang w:val="es"/>
          <w:b w:val="0"/>
          <w:bCs w:val="0"/>
          <w:i w:val="0"/>
          <w:iCs w:val="0"/>
          <w:u w:val="none"/>
          <w:vertAlign w:val="baseline"/>
          <w:rtl w:val="0"/>
        </w:rPr>
        <w:t xml:space="preserve">Ingresos</w:t>
      </w:r>
      <w:r>
        <w:rPr>
          <w:color w:val="313131" w:themeColor="accent4" w:themeShade="80"/>
          <w:lang w:val="es"/>
          <w:b w:val="1"/>
          <w:bCs w:val="1"/>
          <w:i w:val="0"/>
          <w:iCs w:val="0"/>
          <w:u w:val="none"/>
          <w:vertAlign w:val="baseline"/>
          <w:rtl w:val="0"/>
        </w:rPr>
        <w:t xml:space="preserve"> </w:t>
      </w:r>
      <w:r>
        <w:rPr>
          <w:color w:val="313131" w:themeColor="accent4" w:themeShade="80"/>
          <w:lang w:val="es"/>
          <w:b w:val="0"/>
          <w:bCs w:val="0"/>
          <w:i w:val="0"/>
          <w:iCs w:val="0"/>
          <w:u w:val="none"/>
          <w:vertAlign w:val="baseline"/>
          <w:rtl w:val="0"/>
        </w:rPr>
        <w:t xml:space="preserve">son todos los ingresos creados a nivel local, estatal o federal que se utilizan para apoyar los servicios y programas públicos. El impuesto sobre la renta de las personas físicas se considera un </w:t>
      </w:r>
      <w:r>
        <w:rPr>
          <w:color w:val="313131" w:themeColor="accent4" w:themeShade="80"/>
          <w:lang w:val="es"/>
          <w:b w:val="1"/>
          <w:bCs w:val="1"/>
          <w:i w:val="0"/>
          <w:iCs w:val="0"/>
          <w:u w:val="none"/>
          <w:vertAlign w:val="baseline"/>
          <w:rtl w:val="0"/>
        </w:rPr>
        <w:t xml:space="preserve">impuesto progresivo</w:t>
      </w:r>
      <w:r>
        <w:rPr>
          <w:color w:val="313131" w:themeColor="accent4" w:themeShade="80"/>
          <w:lang w:val="es"/>
          <w:b w:val="0"/>
          <w:bCs w:val="0"/>
          <w:i w:val="0"/>
          <w:iCs w:val="0"/>
          <w:u w:val="none"/>
          <w:vertAlign w:val="baseline"/>
          <w:rtl w:val="0"/>
        </w:rPr>
        <w:t xml:space="preserve">, lo que significa que a medida que los ingresos de una persona son mayores, ésta paga más impuestos. El impuesto sobre la renta de las empresas es un </w:t>
      </w:r>
      <w:r>
        <w:rPr>
          <w:color w:val="313131" w:themeColor="accent4" w:themeShade="80"/>
          <w:lang w:val="es"/>
          <w:b w:val="1"/>
          <w:bCs w:val="1"/>
          <w:i w:val="0"/>
          <w:iCs w:val="0"/>
          <w:u w:val="none"/>
          <w:vertAlign w:val="baseline"/>
          <w:rtl w:val="0"/>
        </w:rPr>
        <w:t xml:space="preserve">impuesto fijo</w:t>
      </w:r>
      <w:r>
        <w:rPr>
          <w:color w:val="313131" w:themeColor="accent4" w:themeShade="80"/>
          <w:lang w:val="es"/>
          <w:b w:val="0"/>
          <w:bCs w:val="0"/>
          <w:i w:val="0"/>
          <w:iCs w:val="0"/>
          <w:u w:val="none"/>
          <w:vertAlign w:val="baseline"/>
          <w:rtl w:val="0"/>
        </w:rPr>
        <w:t xml:space="preserve">. Las empresas pagan el mismo porcentaje, independientemente de su tamaño o de los beneficios que obtengan.</w:t>
      </w:r>
    </w:p>
    <w:p w:rsidR="00713872" w:rsidRPr="00606935" w:rsidRDefault="004562BD" w:rsidP="00606935">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Además de los impuestos estatales sobre la renta, los ingresos</w:t>
      </w:r>
      <w:r>
        <w:rPr>
          <w:color w:val="313131" w:themeColor="accent4" w:themeShade="80"/>
          <w:lang w:val="es"/>
          <w:b w:val="1"/>
          <w:bCs w:val="1"/>
          <w:i w:val="0"/>
          <w:iCs w:val="0"/>
          <w:u w:val="none"/>
          <w:vertAlign w:val="baseline"/>
          <w:rtl w:val="0"/>
        </w:rPr>
        <w:t xml:space="preserve"> </w:t>
      </w:r>
      <w:r>
        <w:rPr>
          <w:color w:val="313131" w:themeColor="accent4" w:themeShade="80"/>
          <w:lang w:val="es"/>
          <w:b w:val="0"/>
          <w:bCs w:val="0"/>
          <w:i w:val="0"/>
          <w:iCs w:val="0"/>
          <w:u w:val="none"/>
          <w:vertAlign w:val="baseline"/>
          <w:rtl w:val="0"/>
        </w:rPr>
        <w:t xml:space="preserve">se generan a través de los impuestos sobre las ventas en Oklahoma de todos los bienes, incluidos los comestibles. El porcentaje del impuesto sobre las ventas de bienes lo determina el poder legislativo o mediante elecciones especiales. Los impuestos sobre las ventas también gravan la venta de gas y petróleo, la venta de coches nuevos y usados, las primas de seguros y la venta de productos de tabaco y alcohol. Oklahoma también cobra tasas por los permisos de conducir y las matrículas, así como por las licencias de pesca, caza y navegación. Como muchos consumidores empiezan a comprar por Internet, Oklahoma ha empezado a exigir a las empresas virtuales que cobren el impuesto sobre las ventas si venden productos a los consumidores de Oklahoma.</w:t>
      </w:r>
    </w:p>
    <w:p w:rsidR="00835396" w:rsidRPr="00606935" w:rsidRDefault="00835396" w:rsidP="00606935">
      <w:pPr>
        <w:spacing w:line="276" w:lineRule="auto"/>
        <w:rPr>
          <w:b/>
          <w:color w:val="313131" w:themeColor="accent4" w:themeShade="80"/>
        </w:rPr>
        <w:bidi w:val="0"/>
      </w:pPr>
      <w:r>
        <w:rPr>
          <w:color w:val="313131" w:themeColor="accent4" w:themeShade="80"/>
          <w:lang w:val="es"/>
          <w:b w:val="0"/>
          <w:bCs w:val="0"/>
          <w:i w:val="0"/>
          <w:iCs w:val="0"/>
          <w:u w:val="none"/>
          <w:vertAlign w:val="baseline"/>
          <w:rtl w:val="0"/>
        </w:rPr>
        <w:t xml:space="preserve">A diferencia del gobierno federal, que tiene un déficit presupuestario, la Constitución de Oklahoma exige que la legislatura estatal tenga un presupuesto equilibrado. Si los servicios públicos requieren más dinero del que se ha recaudado a través de los ingresos, los legisladores estatales deben recortar el gasto en servicios públicos o encontrar nuevas fuentes de ingresos. La situación en la que el gasto en servicios públicos supera los ingresos recaudados se denomina </w:t>
      </w:r>
      <w:r>
        <w:rPr>
          <w:color w:val="313131" w:themeColor="accent4" w:themeShade="80"/>
          <w:lang w:val="es"/>
          <w:b w:val="1"/>
          <w:bCs w:val="1"/>
          <w:i w:val="0"/>
          <w:iCs w:val="0"/>
          <w:u w:val="none"/>
          <w:vertAlign w:val="baseline"/>
          <w:rtl w:val="0"/>
        </w:rPr>
        <w:t xml:space="preserve">déficit presupuestario o de ingresos</w:t>
      </w:r>
      <w:r>
        <w:rPr>
          <w:color w:val="313131" w:themeColor="accent4" w:themeShade="80"/>
          <w:lang w:val="es"/>
          <w:b w:val="0"/>
          <w:bCs w:val="0"/>
          <w:i w:val="0"/>
          <w:iCs w:val="0"/>
          <w:u w:val="none"/>
          <w:vertAlign w:val="baseline"/>
          <w:rtl w:val="0"/>
        </w:rPr>
        <w:t xml:space="preserve">. </w:t>
      </w:r>
    </w:p>
    <w:p w:rsidR="00B53787" w:rsidRPr="00606935" w:rsidRDefault="00D2796A" w:rsidP="00606935">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La mayor parte de los </w:t>
      </w:r>
      <w:r>
        <w:rPr>
          <w:color w:val="313131" w:themeColor="accent4" w:themeShade="80"/>
          <w:lang w:val="es"/>
          <w:b w:val="1"/>
          <w:bCs w:val="1"/>
          <w:i w:val="0"/>
          <w:iCs w:val="0"/>
          <w:u w:val="none"/>
          <w:vertAlign w:val="baseline"/>
          <w:rtl w:val="0"/>
        </w:rPr>
        <w:t xml:space="preserve">créditos</w:t>
      </w:r>
      <w:r>
        <w:rPr>
          <w:color w:val="313131" w:themeColor="accent4" w:themeShade="80"/>
          <w:lang w:val="es"/>
          <w:b w:val="0"/>
          <w:bCs w:val="0"/>
          <w:i w:val="0"/>
          <w:iCs w:val="0"/>
          <w:u w:val="none"/>
          <w:vertAlign w:val="baseline"/>
          <w:rtl w:val="0"/>
        </w:rPr>
        <w:t xml:space="preserve"> estatales, o de la financiación de los ingresos, se destina a la educación común, K-12. La educación común representa el 36% del presupuesto. Un porcentaje menor se destina a la enseñanza superior para los institutos y universidades de Oklahoma (12%) y para los programas de tecnología profesional (2%). En conjunto, la mitad del presupuesto estatal de Oklahoma se destina a la financiación de la educación. Otra gran parte del presupuesto estatal se destina a los servicios de salud mental y asistencia sanitaria para todos los empleados del Estado y para las personas que no pueden pagar la asistencia sanitaria, lo que supone aproximadamente el 20%. Los créditos presupuestarios, de menor cuantía pero aún significativos, se destinan a pagar las prisiones, los agentes de la ley y los reclusos. Los mensajes de transporte y seguridad pública también suponen entre el 8% y el 10% del presupuesto. Muchos de estos mismos servicios públicos dependen de los programas federales para sostener sus presupuestos. Por ejemplo, las obras de un proyecto de carretera interestatal recibirían financiación tanto del gobierno federal como del gobierno estatal. Una mejora de la carretera interestatal beneficia a los viajeros de otros estados y podría optar a dólares federales. </w:t>
      </w:r>
    </w:p>
    <w:p w:rsidR="0013223B" w:rsidRPr="00606935" w:rsidRDefault="0013223B" w:rsidP="00606935">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Otros organismos y servicios no mencionados también requieren financiación estatal. La legislatura estatal debe determinar anualmente la cantidad que recibirá cada organismo estatal o servicio público, al tiempo que crea un presupuesto equilibrado.  </w:t>
      </w:r>
    </w:p>
    <w:p w:rsidR="004562BD" w:rsidRPr="00606935" w:rsidRDefault="0013223B" w:rsidP="00606935">
      <w:pPr>
        <w:spacing w:line="276" w:lineRule="auto"/>
        <w:rPr>
          <w:b/>
          <w:color w:val="3E5C61" w:themeColor="accent6"/>
          <w:sz w:val="18"/>
          <w:szCs w:val="18"/>
        </w:rPr>
        <w:bidi w:val="0"/>
      </w:pPr>
      <w:r>
        <w:rPr>
          <w:color w:val="3E5C61" w:themeColor="accent6"/>
          <w:sz w:val="18"/>
          <w:szCs w:val="18"/>
          <w:lang w:val="es"/>
          <w:b w:val="1"/>
          <w:bCs w:val="1"/>
          <w:i w:val="0"/>
          <w:iCs w:val="0"/>
          <w:u w:val="none"/>
          <w:vertAlign w:val="baseline"/>
          <w:rtl w:val="0"/>
        </w:rPr>
        <w:t xml:space="preserve">Fuentes: </w:t>
      </w:r>
    </w:p>
    <w:p w:rsidR="00606935" w:rsidRDefault="00606935" w:rsidP="00DB2F14">
      <w:pPr>
        <w:spacing w:after="60"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Admin. </w:t>
      </w:r>
      <w:r>
        <w:rPr>
          <w:color w:val="3E5C61" w:themeColor="accent6"/>
          <w:sz w:val="18"/>
          <w:szCs w:val="18"/>
          <w:lang w:val="es"/>
          <w:b w:val="0"/>
          <w:bCs w:val="0"/>
          <w:i w:val="1"/>
          <w:iCs w:val="1"/>
          <w:u w:val="none"/>
          <w:vertAlign w:val="baseline"/>
          <w:rtl w:val="0"/>
        </w:rPr>
        <w:t xml:space="preserve">(2017). 8 datos clave sobre el presupuesto de Oklahoma (#betterok Budget Bootcamp). </w:t>
      </w:r>
      <w:r>
        <w:rPr>
          <w:color w:val="3E5C61" w:themeColor="accent6"/>
          <w:sz w:val="18"/>
          <w:szCs w:val="18"/>
          <w:lang w:val="es"/>
          <w:b w:val="0"/>
          <w:bCs w:val="0"/>
          <w:i w:val="1"/>
          <w:iCs w:val="1"/>
          <w:u w:val="none"/>
          <w:vertAlign w:val="baseline"/>
          <w:rtl w:val="0"/>
        </w:rPr>
        <w:t xml:space="preserve">En Juntos Oklahoma. </w:t>
      </w:r>
      <w:r>
        <w:rPr>
          <w:color w:val="3E5C61" w:themeColor="accent6"/>
          <w:sz w:val="18"/>
          <w:szCs w:val="18"/>
          <w:lang w:val="es"/>
          <w:b w:val="0"/>
          <w:bCs w:val="0"/>
          <w:i w:val="1"/>
          <w:iCs w:val="1"/>
          <w:u w:val="none"/>
          <w:vertAlign w:val="baseline"/>
          <w:rtl w:val="0"/>
        </w:rPr>
        <w:t xml:space="preserve">Extraído de http://togetherok.org/8-key-facts-oklahomas-budget-betterok-budget-bootcamp/</w:t>
      </w:r>
    </w:p>
    <w:p w:rsidR="00FF0594" w:rsidRPr="00606935" w:rsidRDefault="00606935" w:rsidP="00DB2F14">
      <w:pPr>
        <w:spacing w:after="60"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Blatt, D.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El presupuesto del año que viene empieza con una deuda de más de 400 millones. </w:t>
      </w:r>
      <w:r>
        <w:rPr>
          <w:color w:val="3E5C61" w:themeColor="accent6"/>
          <w:sz w:val="18"/>
          <w:szCs w:val="18"/>
          <w:lang w:val="es"/>
          <w:b w:val="0"/>
          <w:bCs w:val="0"/>
          <w:i w:val="1"/>
          <w:iCs w:val="1"/>
          <w:u w:val="none"/>
          <w:vertAlign w:val="baseline"/>
          <w:rtl w:val="0"/>
        </w:rPr>
        <w:t xml:space="preserve">En el Instituto de Política de Oklahoma. </w:t>
      </w:r>
      <w:r>
        <w:rPr>
          <w:color w:val="3E5C61" w:themeColor="accent6"/>
          <w:sz w:val="18"/>
          <w:szCs w:val="18"/>
          <w:lang w:val="es"/>
          <w:b w:val="0"/>
          <w:bCs w:val="0"/>
          <w:i w:val="1"/>
          <w:iCs w:val="1"/>
          <w:u w:val="none"/>
          <w:vertAlign w:val="baseline"/>
          <w:rtl w:val="0"/>
        </w:rPr>
        <w:t xml:space="preserve">Extraído de http://okpolicy.org/next-years-budget-starts-400-million-hole/</w:t>
      </w:r>
    </w:p>
    <w:p w:rsidR="0013223B" w:rsidRPr="00606935" w:rsidRDefault="00606935" w:rsidP="00DB2F14">
      <w:pPr>
        <w:spacing w:after="60"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Centro de Prioridades Presupuestarias y Políticas. </w:t>
      </w:r>
      <w:r>
        <w:rPr>
          <w:color w:val="3E5C61" w:themeColor="accent6"/>
          <w:sz w:val="18"/>
          <w:szCs w:val="18"/>
          <w:lang w:val="es"/>
          <w:b w:val="0"/>
          <w:bCs w:val="0"/>
          <w:i w:val="1"/>
          <w:iCs w:val="1"/>
          <w:u w:val="none"/>
          <w:vertAlign w:val="baseline"/>
          <w:rtl w:val="0"/>
        </w:rPr>
        <w:t xml:space="preserve">(2017). </w:t>
      </w:r>
      <w:r>
        <w:rPr>
          <w:color w:val="3E5C61" w:themeColor="accent6"/>
          <w:sz w:val="18"/>
          <w:szCs w:val="18"/>
          <w:lang w:val="es"/>
          <w:b w:val="0"/>
          <w:bCs w:val="0"/>
          <w:i w:val="1"/>
          <w:iCs w:val="1"/>
          <w:u w:val="none"/>
          <w:vertAlign w:val="baseline"/>
          <w:rtl w:val="0"/>
        </w:rPr>
        <w:t xml:space="preserve">Conceptos básicos de política: ¿a qué se destina el dinero de los impuestos estatales? </w:t>
      </w:r>
      <w:r>
        <w:rPr>
          <w:color w:val="3E5C61" w:themeColor="accent6"/>
          <w:sz w:val="18"/>
          <w:szCs w:val="18"/>
          <w:lang w:val="es"/>
          <w:b w:val="0"/>
          <w:bCs w:val="0"/>
          <w:i w:val="1"/>
          <w:iCs w:val="1"/>
          <w:u w:val="none"/>
          <w:vertAlign w:val="baseline"/>
          <w:rtl w:val="0"/>
        </w:rPr>
        <w:t xml:space="preserve">Extraído de http://www.cbpp.org/research/state-budget-and-tax/policy-basics-where-do-our-state-tax-dollars-go</w:t>
      </w:r>
    </w:p>
    <w:p w:rsidR="00FF0594" w:rsidRPr="00606935" w:rsidRDefault="00FF0594" w:rsidP="00DB2F14">
      <w:pPr>
        <w:spacing w:after="60"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Los impuestos en Oklahoma. </w:t>
      </w:r>
      <w:r>
        <w:rPr>
          <w:color w:val="3E5C61" w:themeColor="accent6"/>
          <w:sz w:val="18"/>
          <w:szCs w:val="18"/>
          <w:lang w:val="es"/>
          <w:b w:val="0"/>
          <w:bCs w:val="0"/>
          <w:i w:val="1"/>
          <w:iCs w:val="1"/>
          <w:u w:val="none"/>
          <w:vertAlign w:val="baseline"/>
          <w:rtl w:val="0"/>
        </w:rPr>
        <w:t xml:space="preserve">(2016). </w:t>
      </w:r>
      <w:r>
        <w:rPr>
          <w:color w:val="3E5C61" w:themeColor="accent6"/>
          <w:sz w:val="18"/>
          <w:szCs w:val="18"/>
          <w:lang w:val="es"/>
          <w:b w:val="0"/>
          <w:bCs w:val="0"/>
          <w:i w:val="1"/>
          <w:iCs w:val="1"/>
          <w:u w:val="none"/>
          <w:vertAlign w:val="baseline"/>
          <w:rtl w:val="0"/>
        </w:rPr>
        <w:t xml:space="preserve">En Wikipedia. </w:t>
      </w:r>
      <w:r>
        <w:rPr>
          <w:color w:val="3E5C61" w:themeColor="accent6"/>
          <w:sz w:val="18"/>
          <w:szCs w:val="18"/>
          <w:lang w:val="es"/>
          <w:b w:val="0"/>
          <w:bCs w:val="0"/>
          <w:i w:val="1"/>
          <w:iCs w:val="1"/>
          <w:u w:val="none"/>
          <w:vertAlign w:val="baseline"/>
          <w:rtl w:val="0"/>
        </w:rPr>
        <w:t xml:space="preserve">Extraído de https://en.wikipedia.org/wiki/Taxation_in_Oklahoma#Sales_and_Use_Tax</w:t>
      </w:r>
    </w:p>
    <w:p w:rsidR="0013223B" w:rsidRPr="00606935" w:rsidRDefault="0013223B" w:rsidP="00606935">
      <w:pPr>
        <w:spacing w:line="276" w:lineRule="auto"/>
        <w:rPr>
          <w:color w:val="313131" w:themeColor="accent4" w:themeShade="80"/>
        </w:rPr>
      </w:pPr>
    </w:p>
    <w:sectPr w:rsidR="0013223B" w:rsidRPr="00606935" w:rsidSect="00DB2F1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07" w:rsidRDefault="00981507" w:rsidP="00740312">
      <w:pPr>
        <w:spacing w:after="0" w:line="240" w:lineRule="auto"/>
      </w:pPr>
      <w:r>
        <w:separator/>
      </w:r>
    </w:p>
  </w:endnote>
  <w:endnote w:type="continuationSeparator" w:id="0">
    <w:p w:rsidR="00981507" w:rsidRDefault="00981507" w:rsidP="0074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312" w:rsidRPr="00606935" w:rsidRDefault="00740312" w:rsidP="00AD058B">
    <w:pPr>
      <w:pStyle w:val="Footer"/>
      <w:tabs>
        <w:tab w:val="clear" w:pos="9360"/>
        <w:tab w:val="left" w:pos="7830"/>
        <w:tab w:val="right" w:pos="8550"/>
      </w:tabs>
      <w:ind w:right="900"/>
      <w:jc w:val="right"/>
      <w:rPr>
        <w:b/>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59264" behindDoc="1" locked="0" layoutInCell="1" allowOverlap="1" wp14:anchorId="11674CE4" wp14:editId="42FD84CB">
          <wp:simplePos x="0" y="0"/>
          <wp:positionH relativeFrom="margin">
            <wp:posOffset>1371600</wp:posOffset>
          </wp:positionH>
          <wp:positionV relativeFrom="paragraph">
            <wp:posOffset>-33655</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color w:val="313131" w:themeColor="accent4" w:themeShade="80"/>
        <w:lang w:val="es"/>
        <w:b w:val="1"/>
        <w:bCs w:val="1"/>
        <w:i w:val="0"/>
        <w:iCs w:val="0"/>
        <w:u w:val="none"/>
        <w:vertAlign w:val="baseline"/>
        <w:rtl w:val="0"/>
      </w:rPr>
      <w:t xml:space="preserve">WHY DO WE PAY TAXES?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8B" w:rsidRPr="00AD058B" w:rsidRDefault="00AD058B" w:rsidP="00AD058B">
    <w:pPr>
      <w:pStyle w:val="Footer"/>
      <w:tabs>
        <w:tab w:val="clear" w:pos="4680"/>
        <w:tab w:val="clear" w:pos="9360"/>
        <w:tab w:val="left" w:pos="8424"/>
      </w:tabs>
      <w:ind w:right="810"/>
      <w:jc w:val="right"/>
      <w:rPr>
        <w:b/>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61312" behindDoc="1" locked="0" layoutInCell="1" allowOverlap="1" wp14:anchorId="0C7D0B43" wp14:editId="3425C522">
          <wp:simplePos x="0" y="0"/>
          <wp:positionH relativeFrom="margin">
            <wp:posOffset>1447800</wp:posOffset>
          </wp:positionH>
          <wp:positionV relativeFrom="paragraph">
            <wp:posOffset>137160</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b w:val="0"/>
        <w:bCs w:val="0"/>
        <w:i w:val="0"/>
        <w:iCs w:val="0"/>
        <w:u w:val="none"/>
        <w:vertAlign w:val="baseline"/>
        <w:rtl w:val="0"/>
      </w:rPr>
      <w:tab/>
    </w:r>
    <w:r>
      <w:rPr>
        <w:color w:val="313131" w:themeColor="accent4" w:themeShade="80"/>
        <w:lang w:val="es"/>
        <w:b w:val="1"/>
        <w:bCs w:val="1"/>
        <w:i w:val="0"/>
        <w:iCs w:val="0"/>
        <w:u w:val="none"/>
        <w:vertAlign w:val="baseline"/>
        <w:rtl w:val="0"/>
      </w:rPr>
      <w:t xml:space="preserve">WHY DO WE PAY TAXES?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07" w:rsidRDefault="00981507" w:rsidP="00740312">
      <w:pPr>
        <w:spacing w:after="0" w:line="240" w:lineRule="auto"/>
      </w:pPr>
      <w:r>
        <w:separator/>
      </w:r>
    </w:p>
  </w:footnote>
  <w:footnote w:type="continuationSeparator" w:id="0">
    <w:p w:rsidR="00981507" w:rsidRDefault="00981507" w:rsidP="0074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14" w:rsidRPr="00DB2F14" w:rsidRDefault="00DB2F14">
    <w:pPr>
      <w:pStyle w:val="Header"/>
      <w:rPr>
        <w:b/>
        <w:color w:val="313131" w:themeColor="accent4" w:themeShade="80"/>
        <w:sz w:val="28"/>
        <w:szCs w:val="28"/>
      </w:rPr>
      <w:bidi w:val="0"/>
    </w:pPr>
    <w:r>
      <w:rPr>
        <w:color w:val="313131" w:themeColor="accent4" w:themeShade="80"/>
        <w:sz w:val="28"/>
        <w:szCs w:val="28"/>
        <w:lang w:val="es"/>
        <w:b w:val="1"/>
        <w:bCs w:val="1"/>
        <w:i w:val="0"/>
        <w:iCs w:val="0"/>
        <w:u w:val="none"/>
        <w:vertAlign w:val="baseline"/>
        <w:rtl w:val="0"/>
      </w:rPr>
      <w:t xml:space="preserve">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BD"/>
    <w:rsid w:val="000A5922"/>
    <w:rsid w:val="0013223B"/>
    <w:rsid w:val="002A08AE"/>
    <w:rsid w:val="004562BD"/>
    <w:rsid w:val="00586250"/>
    <w:rsid w:val="00606935"/>
    <w:rsid w:val="00713872"/>
    <w:rsid w:val="00740312"/>
    <w:rsid w:val="0079118D"/>
    <w:rsid w:val="007E2653"/>
    <w:rsid w:val="00835396"/>
    <w:rsid w:val="00981507"/>
    <w:rsid w:val="00AD058B"/>
    <w:rsid w:val="00B53787"/>
    <w:rsid w:val="00BE6435"/>
    <w:rsid w:val="00D2796A"/>
    <w:rsid w:val="00D50E63"/>
    <w:rsid w:val="00D805AF"/>
    <w:rsid w:val="00DB2F14"/>
    <w:rsid w:val="00FA2BAD"/>
    <w:rsid w:val="00FF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4A4FD"/>
  <w15:chartTrackingRefBased/>
  <w15:docId w15:val="{E8E8D0E6-833B-45DE-A537-9A95EA1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23B"/>
    <w:rPr>
      <w:color w:val="910D28" w:themeColor="hyperlink"/>
      <w:u w:val="single"/>
    </w:rPr>
  </w:style>
  <w:style w:type="paragraph" w:styleId="Header">
    <w:name w:val="header"/>
    <w:basedOn w:val="Normal"/>
    <w:link w:val="HeaderChar"/>
    <w:uiPriority w:val="99"/>
    <w:unhideWhenUsed/>
    <w:rsid w:val="0074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312"/>
  </w:style>
  <w:style w:type="paragraph" w:styleId="Footer">
    <w:name w:val="footer"/>
    <w:basedOn w:val="Normal"/>
    <w:link w:val="FooterChar"/>
    <w:uiPriority w:val="99"/>
    <w:unhideWhenUsed/>
    <w:rsid w:val="0074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312"/>
  </w:style>
  <w:style w:type="character" w:styleId="FollowedHyperlink">
    <w:name w:val="FollowedHyperlink"/>
    <w:basedOn w:val="DefaultParagraphFont"/>
    <w:uiPriority w:val="99"/>
    <w:semiHidden/>
    <w:unhideWhenUsed/>
    <w:rsid w:val="00606935"/>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_rels/foot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599A-78A9-44EA-9F33-BF20111B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Schlasner, Jacqueline</cp:lastModifiedBy>
  <cp:revision>5</cp:revision>
  <dcterms:created xsi:type="dcterms:W3CDTF">2017-06-19T19:40:00Z</dcterms:created>
  <dcterms:modified xsi:type="dcterms:W3CDTF">2017-06-30T18:10:00Z</dcterms:modified>
</cp:coreProperties>
</file>