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24EF" w14:textId="77777777" w:rsidR="005A6295" w:rsidRDefault="00000000">
      <w:pPr>
        <w:pStyle w:val="Title"/>
      </w:pPr>
      <w:r>
        <w:t>VOCABULARY</w:t>
      </w:r>
    </w:p>
    <w:tbl>
      <w:tblPr>
        <w:tblStyle w:val="a"/>
        <w:tblW w:w="9375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735"/>
        <w:gridCol w:w="3915"/>
      </w:tblGrid>
      <w:tr w:rsidR="005A6295" w14:paraId="261ACDCF" w14:textId="77777777">
        <w:trPr>
          <w:cantSplit/>
          <w:trHeight w:val="470"/>
          <w:tblHeader/>
        </w:trPr>
        <w:tc>
          <w:tcPr>
            <w:tcW w:w="9375" w:type="dxa"/>
            <w:gridSpan w:val="3"/>
            <w:tcBorders>
              <w:bottom w:val="single" w:sz="4" w:space="0" w:color="288AC3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27C0C4" w14:textId="77777777" w:rsidR="005A6295" w:rsidRDefault="00000000">
            <w:pPr>
              <w:spacing w:after="0"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ADOLESCENT BRAIN </w:t>
            </w:r>
            <w:r>
              <w:rPr>
                <w:b/>
                <w:color w:val="FFFFFF"/>
              </w:rPr>
              <w:t>(Miller &amp; Anandakumar, 2020)</w:t>
            </w:r>
          </w:p>
        </w:tc>
      </w:tr>
      <w:tr w:rsidR="005A6295" w14:paraId="54E7A1C4" w14:textId="77777777">
        <w:trPr>
          <w:cantSplit/>
          <w:tblHeader/>
        </w:trPr>
        <w:tc>
          <w:tcPr>
            <w:tcW w:w="172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565749" w14:textId="77777777" w:rsidR="005A629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WORD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5F8A9A" w14:textId="77777777" w:rsidR="005A629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391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54EBD3" w14:textId="77777777" w:rsidR="005A62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EXAMPLE SENTENCE</w:t>
            </w:r>
          </w:p>
        </w:tc>
      </w:tr>
      <w:tr w:rsidR="005A6295" w14:paraId="5C632600" w14:textId="77777777">
        <w:trPr>
          <w:cantSplit/>
          <w:trHeight w:val="1170"/>
        </w:trPr>
        <w:tc>
          <w:tcPr>
            <w:tcW w:w="172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35CB2C" w14:textId="064FE8F4" w:rsidR="005A6295" w:rsidRDefault="00622036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adolescence</w:t>
            </w:r>
          </w:p>
        </w:tc>
        <w:tc>
          <w:tcPr>
            <w:tcW w:w="373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C03F96" w14:textId="582E8D27" w:rsidR="005A6295" w:rsidRDefault="00622036">
            <w:pPr>
              <w:spacing w:after="0"/>
            </w:pPr>
            <w:r>
              <w:t>the stage of life between childhood and adulthood (the teen years).</w:t>
            </w:r>
          </w:p>
        </w:tc>
        <w:tc>
          <w:tcPr>
            <w:tcW w:w="391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5426D8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During adolescence, teens often start wanting more independence from their parents.</w:t>
            </w:r>
          </w:p>
        </w:tc>
      </w:tr>
      <w:tr w:rsidR="005A6295" w14:paraId="31DA1B5B" w14:textId="77777777">
        <w:trPr>
          <w:cantSplit/>
          <w:trHeight w:val="114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B5BFAA" w14:textId="582DDFE5" w:rsidR="005A6295" w:rsidRDefault="00622036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cerebrum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86CBA6" w14:textId="078A1F24" w:rsidR="005A6295" w:rsidRDefault="00622036">
            <w:pPr>
              <w:spacing w:after="0"/>
            </w:pPr>
            <w:r>
              <w:t>the largest part of the brain that controls thinking, memory, and movement.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3F98E9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When you solve a hard math problem, your cerebrum is at work.</w:t>
            </w:r>
          </w:p>
        </w:tc>
      </w:tr>
      <w:tr w:rsidR="005A6295" w14:paraId="203BEFF6" w14:textId="77777777">
        <w:trPr>
          <w:cantSplit/>
          <w:trHeight w:val="114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583D70" w14:textId="78E01C0E" w:rsidR="005A6295" w:rsidRDefault="00622036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gray matter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39C130" w14:textId="2BB5C60E" w:rsidR="005A6295" w:rsidRDefault="00622036">
            <w:pPr>
              <w:spacing w:after="0"/>
            </w:pPr>
            <w:r>
              <w:t>brain tissue that helps with decision-making, self-control, and the senses.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B51D90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Scientists say gray matter changes a lot during the teen years.</w:t>
            </w:r>
          </w:p>
        </w:tc>
      </w:tr>
      <w:tr w:rsidR="005A6295" w14:paraId="35C9031D" w14:textId="77777777">
        <w:trPr>
          <w:cantSplit/>
          <w:trHeight w:val="114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17142" w14:textId="6BD551AF" w:rsidR="005A6295" w:rsidRDefault="00622036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white matter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12AFFE" w14:textId="77777777" w:rsidR="005A6295" w:rsidRDefault="00000000">
            <w:pPr>
              <w:spacing w:after="0"/>
            </w:pPr>
            <w:r>
              <w:t>brain tissue that carries signals between different parts of the brain.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F673E6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White matter helps different parts of the brain send signals to each other.</w:t>
            </w:r>
          </w:p>
        </w:tc>
      </w:tr>
      <w:tr w:rsidR="005A6295" w14:paraId="4F05CF3B" w14:textId="77777777">
        <w:trPr>
          <w:cantSplit/>
          <w:trHeight w:val="114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895117" w14:textId="5C478A38" w:rsidR="005A6295" w:rsidRDefault="00622036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neuron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F8CC3A" w14:textId="77777777" w:rsidR="005A6295" w:rsidRDefault="00000000">
            <w:pPr>
              <w:spacing w:after="0"/>
            </w:pPr>
            <w:r>
              <w:t>a brain cell that sends and receives messages.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BFA410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Each time you learn a new skill, neurons in your brain make new connections.</w:t>
            </w:r>
          </w:p>
        </w:tc>
      </w:tr>
      <w:tr w:rsidR="005A6295" w14:paraId="658CA857" w14:textId="77777777">
        <w:trPr>
          <w:cantSplit/>
          <w:trHeight w:val="114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EBE6F9" w14:textId="77777777" w:rsidR="005A6295" w:rsidRDefault="00000000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MRI / fMRI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089E71" w14:textId="77777777" w:rsidR="005A6295" w:rsidRDefault="00000000">
            <w:pPr>
              <w:spacing w:after="0"/>
            </w:pPr>
            <w:r>
              <w:t>brain scans that take pictures of the brain’s structure and activity.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B359E5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Doctors can use an MRI to take a picture of what’s inside your brain.</w:t>
            </w:r>
          </w:p>
        </w:tc>
      </w:tr>
      <w:tr w:rsidR="005A6295" w14:paraId="45DCF9F4" w14:textId="77777777">
        <w:trPr>
          <w:cantSplit/>
          <w:trHeight w:val="114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2FF13" w14:textId="6140B184" w:rsidR="005A6295" w:rsidRDefault="00622036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functionally connected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A06434" w14:textId="77777777" w:rsidR="005A6295" w:rsidRDefault="00000000">
            <w:pPr>
              <w:spacing w:after="0"/>
            </w:pPr>
            <w:r>
              <w:t>when different parts of the brain work together.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30F2BC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Your brain is stronger when its different parts are functionally connected.</w:t>
            </w:r>
          </w:p>
        </w:tc>
      </w:tr>
      <w:tr w:rsidR="005A6295" w14:paraId="5080A59C" w14:textId="77777777">
        <w:trPr>
          <w:cantSplit/>
          <w:trHeight w:val="96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6DCF72" w14:textId="7EF00A8C" w:rsidR="005A6295" w:rsidRDefault="00622036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lastRenderedPageBreak/>
              <w:t>temporal discounting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BC1F09" w14:textId="77777777" w:rsidR="005A6295" w:rsidRDefault="00000000">
            <w:pPr>
              <w:spacing w:after="0"/>
            </w:pPr>
            <w:r>
              <w:t>choosing a small reward now instead of waiting for a bigger reward later.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FF4ED9" w14:textId="77777777" w:rsidR="005A6295" w:rsidRDefault="00000000">
            <w:pPr>
              <w:spacing w:before="240" w:after="240"/>
              <w:rPr>
                <w:i/>
              </w:rPr>
            </w:pPr>
            <w:r>
              <w:rPr>
                <w:i/>
              </w:rPr>
              <w:t>Choosing to eat one cookie now instead of waiting for two later is an example of temporal discounting.</w:t>
            </w:r>
          </w:p>
        </w:tc>
      </w:tr>
    </w:tbl>
    <w:p w14:paraId="725E3626" w14:textId="77777777" w:rsidR="005A6295" w:rsidRDefault="005A6295">
      <w:pPr>
        <w:pStyle w:val="Title"/>
        <w:rPr>
          <w:sz w:val="2"/>
          <w:szCs w:val="2"/>
        </w:rPr>
      </w:pPr>
      <w:bookmarkStart w:id="0" w:name="_4gk72qp6xe7z" w:colFirst="0" w:colLast="0"/>
      <w:bookmarkEnd w:id="0"/>
    </w:p>
    <w:p w14:paraId="23503FE6" w14:textId="77777777" w:rsidR="005A6295" w:rsidRDefault="005A6295">
      <w:pPr>
        <w:pStyle w:val="Title"/>
        <w:rPr>
          <w:sz w:val="2"/>
          <w:szCs w:val="2"/>
        </w:rPr>
      </w:pPr>
      <w:bookmarkStart w:id="1" w:name="_m28l2zh1w68q" w:colFirst="0" w:colLast="0"/>
      <w:bookmarkEnd w:id="1"/>
    </w:p>
    <w:tbl>
      <w:tblPr>
        <w:tblStyle w:val="a0"/>
        <w:tblW w:w="9375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735"/>
        <w:gridCol w:w="3915"/>
      </w:tblGrid>
      <w:tr w:rsidR="005A6295" w14:paraId="794FE9F3" w14:textId="77777777">
        <w:trPr>
          <w:cantSplit/>
          <w:trHeight w:val="470"/>
          <w:tblHeader/>
        </w:trPr>
        <w:tc>
          <w:tcPr>
            <w:tcW w:w="9375" w:type="dxa"/>
            <w:gridSpan w:val="3"/>
            <w:tcBorders>
              <w:bottom w:val="single" w:sz="4" w:space="0" w:color="288AC3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B02A34" w14:textId="77777777" w:rsidR="005A6295" w:rsidRDefault="00000000">
            <w:pPr>
              <w:spacing w:after="0"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TECHNOLOGY AND TEENS (</w:t>
            </w:r>
            <w:proofErr w:type="spellStart"/>
            <w:r>
              <w:rPr>
                <w:b/>
                <w:color w:val="FFFFFF"/>
                <w:sz w:val="28"/>
                <w:szCs w:val="28"/>
              </w:rPr>
              <w:t>Magis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>-Weinberg &amp; Berger, 2020)</w:t>
            </w:r>
          </w:p>
        </w:tc>
      </w:tr>
      <w:tr w:rsidR="005A6295" w14:paraId="188F8120" w14:textId="77777777">
        <w:trPr>
          <w:cantSplit/>
          <w:tblHeader/>
        </w:trPr>
        <w:tc>
          <w:tcPr>
            <w:tcW w:w="172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CF000C" w14:textId="77777777" w:rsidR="005A629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WORD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418E12" w14:textId="77777777" w:rsidR="005A629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391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F42DD8" w14:textId="77777777" w:rsidR="005A62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EXAMPLE SENTENCE</w:t>
            </w:r>
          </w:p>
        </w:tc>
      </w:tr>
      <w:tr w:rsidR="005A6295" w14:paraId="12AB017E" w14:textId="77777777">
        <w:trPr>
          <w:cantSplit/>
          <w:trHeight w:val="1170"/>
        </w:trPr>
        <w:tc>
          <w:tcPr>
            <w:tcW w:w="172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59714E" w14:textId="59C27DB6" w:rsidR="005A6295" w:rsidRDefault="00622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r>
              <w:rPr>
                <w:b/>
                <w:color w:val="90192A"/>
              </w:rPr>
              <w:t>disengage</w:t>
            </w:r>
          </w:p>
        </w:tc>
        <w:tc>
          <w:tcPr>
            <w:tcW w:w="373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C9E86" w14:textId="44FF1B44" w:rsidR="005A6295" w:rsidRDefault="00622036">
            <w:pPr>
              <w:spacing w:after="0"/>
            </w:pPr>
            <w:r>
              <w:t>to step away or take a break from something.</w:t>
            </w:r>
          </w:p>
        </w:tc>
        <w:tc>
          <w:tcPr>
            <w:tcW w:w="391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3A1E59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Sometimes you need to disengage from technology and take a break outside.</w:t>
            </w:r>
          </w:p>
        </w:tc>
      </w:tr>
      <w:tr w:rsidR="005A6295" w14:paraId="0A04EAC8" w14:textId="77777777">
        <w:trPr>
          <w:cantSplit/>
          <w:trHeight w:val="114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650B5A" w14:textId="276F0812" w:rsidR="005A6295" w:rsidRDefault="00622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multitasking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714799" w14:textId="040CB422" w:rsidR="005A6295" w:rsidRDefault="00622036">
            <w:pPr>
              <w:spacing w:after="0"/>
            </w:pPr>
            <w:r>
              <w:t>trying to do more than one thing at the same time.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D4927F" w14:textId="188E46BF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Multitasking, like texting while doing homework, can make both</w:t>
            </w:r>
            <w:r w:rsidR="00622036">
              <w:rPr>
                <w:i/>
              </w:rPr>
              <w:t xml:space="preserve"> tasks</w:t>
            </w:r>
            <w:r>
              <w:rPr>
                <w:i/>
              </w:rPr>
              <w:t xml:space="preserve"> take longer.</w:t>
            </w:r>
          </w:p>
        </w:tc>
      </w:tr>
      <w:tr w:rsidR="005A6295" w14:paraId="4B7FF5C4" w14:textId="77777777">
        <w:trPr>
          <w:cantSplit/>
          <w:trHeight w:val="96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AFA98F" w14:textId="676F7AC4" w:rsidR="005A6295" w:rsidRDefault="00923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notifications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8C7E9" w14:textId="77777777" w:rsidR="005A6295" w:rsidRDefault="00000000">
            <w:pPr>
              <w:spacing w:after="0"/>
            </w:pPr>
            <w:r>
              <w:t>alerts or reminders from your phone or apps.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EA2450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Notifications from apps can make it hard to put your phone down.</w:t>
            </w:r>
          </w:p>
        </w:tc>
      </w:tr>
      <w:tr w:rsidR="005A6295" w14:paraId="74C002CA" w14:textId="77777777">
        <w:trPr>
          <w:cantSplit/>
          <w:trHeight w:val="96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043ED7" w14:textId="7D42EC5D" w:rsidR="005A6295" w:rsidRDefault="00923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autoplay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EB8164" w14:textId="77777777" w:rsidR="005A6295" w:rsidRDefault="00000000">
            <w:pPr>
              <w:spacing w:after="0"/>
            </w:pPr>
            <w:r>
              <w:t>when videos keep playing automatically without you pressing play again.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CFB784" w14:textId="6892D5EF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Autoplay keeps videos going even when you don't click “next.”</w:t>
            </w:r>
          </w:p>
        </w:tc>
      </w:tr>
      <w:tr w:rsidR="005A6295" w14:paraId="35E3FA47" w14:textId="77777777">
        <w:trPr>
          <w:cantSplit/>
          <w:trHeight w:val="96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37F64C" w14:textId="54F23B3B" w:rsidR="005A6295" w:rsidRDefault="000A4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contract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F07F46" w14:textId="57BF7FB3" w:rsidR="005A6295" w:rsidRDefault="00000000">
            <w:pPr>
              <w:spacing w:after="0"/>
            </w:pPr>
            <w:r>
              <w:t>an agreement</w:t>
            </w:r>
            <w:r w:rsidR="00E60C15">
              <w:t>. In this case, an agreement about how to use technology responsibly.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4F8D13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Some families make a contract about when and how to use phones.</w:t>
            </w:r>
          </w:p>
        </w:tc>
      </w:tr>
      <w:tr w:rsidR="005A6295" w14:paraId="0330BC9B" w14:textId="77777777">
        <w:trPr>
          <w:cantSplit/>
          <w:trHeight w:val="96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0550AF" w14:textId="3AD502DF" w:rsidR="005A6295" w:rsidRDefault="000A4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balance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509B7" w14:textId="77777777" w:rsidR="005A6295" w:rsidRDefault="00000000">
            <w:pPr>
              <w:spacing w:after="0"/>
            </w:pPr>
            <w:r>
              <w:t>using technology in a way that doesn’t take over your health, sleep, or relationships.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82778B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Having balance means spending time with friends face-to-face, not just online.</w:t>
            </w:r>
          </w:p>
        </w:tc>
      </w:tr>
    </w:tbl>
    <w:p w14:paraId="7FC0471E" w14:textId="77777777" w:rsidR="005A6295" w:rsidRDefault="005A6295">
      <w:pPr>
        <w:spacing w:after="0"/>
      </w:pPr>
    </w:p>
    <w:p w14:paraId="0E754EAD" w14:textId="0B72B369" w:rsidR="005A6295" w:rsidRDefault="005A6295"/>
    <w:p w14:paraId="45580828" w14:textId="77777777" w:rsidR="005A6295" w:rsidRDefault="005A6295">
      <w:pPr>
        <w:pStyle w:val="Title"/>
        <w:rPr>
          <w:sz w:val="2"/>
          <w:szCs w:val="2"/>
        </w:rPr>
      </w:pPr>
      <w:bookmarkStart w:id="2" w:name="_vhakytc9u43s" w:colFirst="0" w:colLast="0"/>
      <w:bookmarkEnd w:id="2"/>
    </w:p>
    <w:tbl>
      <w:tblPr>
        <w:tblStyle w:val="a1"/>
        <w:tblW w:w="9375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735"/>
        <w:gridCol w:w="3915"/>
      </w:tblGrid>
      <w:tr w:rsidR="005A6295" w14:paraId="2523AD06" w14:textId="77777777">
        <w:trPr>
          <w:cantSplit/>
          <w:trHeight w:val="470"/>
          <w:tblHeader/>
        </w:trPr>
        <w:tc>
          <w:tcPr>
            <w:tcW w:w="9375" w:type="dxa"/>
            <w:gridSpan w:val="3"/>
            <w:tcBorders>
              <w:bottom w:val="single" w:sz="4" w:space="0" w:color="288AC3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3DC10B" w14:textId="77777777" w:rsidR="005A6295" w:rsidRDefault="00000000">
            <w:pPr>
              <w:spacing w:after="0"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SCREEN TIME (NIDA, 2020)</w:t>
            </w:r>
          </w:p>
        </w:tc>
      </w:tr>
      <w:tr w:rsidR="005A6295" w14:paraId="73F72B1C" w14:textId="77777777">
        <w:trPr>
          <w:cantSplit/>
          <w:tblHeader/>
        </w:trPr>
        <w:tc>
          <w:tcPr>
            <w:tcW w:w="172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B1737A" w14:textId="77777777" w:rsidR="005A629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WORD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A80749" w14:textId="77777777" w:rsidR="005A629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391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2C2793" w14:textId="77777777" w:rsidR="005A62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EXAMPLE SENTENCE</w:t>
            </w:r>
          </w:p>
        </w:tc>
      </w:tr>
      <w:tr w:rsidR="005A6295" w14:paraId="4622754E" w14:textId="77777777">
        <w:trPr>
          <w:cantSplit/>
          <w:trHeight w:val="1170"/>
        </w:trPr>
        <w:tc>
          <w:tcPr>
            <w:tcW w:w="172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3DC2FC" w14:textId="257A2953" w:rsidR="005A6295" w:rsidRDefault="00E60C15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melatonin</w:t>
            </w:r>
          </w:p>
        </w:tc>
        <w:tc>
          <w:tcPr>
            <w:tcW w:w="373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6E3A75" w14:textId="657679D4" w:rsidR="005A6295" w:rsidRDefault="00E60C15">
            <w:pPr>
              <w:spacing w:after="0"/>
            </w:pPr>
            <w:r>
              <w:t>a natural chemical in your body that helps you fall asleep.</w:t>
            </w:r>
          </w:p>
        </w:tc>
        <w:tc>
          <w:tcPr>
            <w:tcW w:w="391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C54630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Looking at a bright screen before bed can lower your melatonin.</w:t>
            </w:r>
          </w:p>
        </w:tc>
      </w:tr>
      <w:tr w:rsidR="005A6295" w14:paraId="56584C1B" w14:textId="77777777">
        <w:trPr>
          <w:cantSplit/>
          <w:trHeight w:val="114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FB1152" w14:textId="7BAEB62A" w:rsidR="005A6295" w:rsidRDefault="00BB70BE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cortex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D4446A" w14:textId="32139378" w:rsidR="005A6295" w:rsidRDefault="00BB70BE">
            <w:pPr>
              <w:spacing w:after="0"/>
            </w:pPr>
            <w:r>
              <w:t>the outer layer of the brain that helps with thinking and decision-making.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51773E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The cortex is the part of the brain that helps you think and plan.</w:t>
            </w:r>
          </w:p>
        </w:tc>
      </w:tr>
      <w:tr w:rsidR="005A6295" w14:paraId="57805ECA" w14:textId="77777777">
        <w:trPr>
          <w:cantSplit/>
          <w:trHeight w:val="114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6C85B2" w14:textId="2FCAF141" w:rsidR="005A6295" w:rsidRDefault="00BB70BE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brain development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51C7FF" w14:textId="7515926A" w:rsidR="005A6295" w:rsidRDefault="00BB70BE">
            <w:pPr>
              <w:spacing w:after="0"/>
            </w:pPr>
            <w:r>
              <w:t>how the brain grows and changes during the teen years.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23C4E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Healthy sleep and exercise support your brain development.</w:t>
            </w:r>
          </w:p>
        </w:tc>
      </w:tr>
      <w:tr w:rsidR="005A6295" w14:paraId="412783F2" w14:textId="77777777">
        <w:trPr>
          <w:cantSplit/>
          <w:trHeight w:val="114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C15F25" w14:textId="681C6A98" w:rsidR="005A6295" w:rsidRDefault="00BB70BE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symptoms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6C00A1" w14:textId="05C0E151" w:rsidR="005A6295" w:rsidRDefault="00BB70BE">
            <w:pPr>
              <w:spacing w:after="0"/>
            </w:pPr>
            <w:r>
              <w:t>signs that show something may be wrong with your health.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6119CB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A headache can be one of the symptoms of too much screen time.</w:t>
            </w:r>
          </w:p>
        </w:tc>
      </w:tr>
      <w:tr w:rsidR="005A6295" w14:paraId="22C4510D" w14:textId="77777777">
        <w:trPr>
          <w:cantSplit/>
          <w:trHeight w:val="96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FDB6DA" w14:textId="12BF225C" w:rsidR="005A6295" w:rsidRDefault="00BB70BE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stress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5C9E2A" w14:textId="6E7DDFF5" w:rsidR="005A6295" w:rsidRDefault="00BB70BE">
            <w:pPr>
              <w:spacing w:after="0"/>
            </w:pPr>
            <w:r>
              <w:t>a feeling of worry or pressure.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2C8A5A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Exercise is a good way to reduce stress.</w:t>
            </w:r>
          </w:p>
        </w:tc>
      </w:tr>
    </w:tbl>
    <w:p w14:paraId="60661598" w14:textId="77777777" w:rsidR="005A6295" w:rsidRDefault="00000000">
      <w:r>
        <w:br w:type="page"/>
      </w:r>
    </w:p>
    <w:p w14:paraId="47575910" w14:textId="77777777" w:rsidR="005A6295" w:rsidRDefault="005A6295">
      <w:pPr>
        <w:pStyle w:val="Title"/>
        <w:rPr>
          <w:sz w:val="2"/>
          <w:szCs w:val="2"/>
        </w:rPr>
      </w:pPr>
      <w:bookmarkStart w:id="3" w:name="_te2jz2dmrllm" w:colFirst="0" w:colLast="0"/>
      <w:bookmarkEnd w:id="3"/>
    </w:p>
    <w:tbl>
      <w:tblPr>
        <w:tblStyle w:val="a2"/>
        <w:tblW w:w="9375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735"/>
        <w:gridCol w:w="3915"/>
      </w:tblGrid>
      <w:tr w:rsidR="005A6295" w14:paraId="17BE7A16" w14:textId="77777777">
        <w:trPr>
          <w:cantSplit/>
          <w:trHeight w:val="470"/>
          <w:tblHeader/>
        </w:trPr>
        <w:tc>
          <w:tcPr>
            <w:tcW w:w="9375" w:type="dxa"/>
            <w:gridSpan w:val="3"/>
            <w:tcBorders>
              <w:bottom w:val="single" w:sz="4" w:space="0" w:color="288AC3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00836A" w14:textId="77777777" w:rsidR="005A6295" w:rsidRDefault="00000000">
            <w:pPr>
              <w:spacing w:after="0"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SOCIAL MEDIA (</w:t>
            </w:r>
            <w:proofErr w:type="spellStart"/>
            <w:r>
              <w:rPr>
                <w:b/>
                <w:color w:val="FFFFFF"/>
                <w:sz w:val="28"/>
                <w:szCs w:val="28"/>
              </w:rPr>
              <w:t>Magis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>-Weinberg &amp; Berger, 2020)</w:t>
            </w:r>
          </w:p>
        </w:tc>
      </w:tr>
      <w:tr w:rsidR="005A6295" w14:paraId="68B226A1" w14:textId="77777777">
        <w:trPr>
          <w:cantSplit/>
          <w:tblHeader/>
        </w:trPr>
        <w:tc>
          <w:tcPr>
            <w:tcW w:w="172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5E6C26" w14:textId="77777777" w:rsidR="005A629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WORD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678C3A" w14:textId="77777777" w:rsidR="005A629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391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7B5D2C" w14:textId="77777777" w:rsidR="005A62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EXAMPLE SENTENCE</w:t>
            </w:r>
          </w:p>
        </w:tc>
      </w:tr>
      <w:tr w:rsidR="005A6295" w14:paraId="1831B4F7" w14:textId="77777777">
        <w:trPr>
          <w:cantSplit/>
          <w:trHeight w:val="1170"/>
        </w:trPr>
        <w:tc>
          <w:tcPr>
            <w:tcW w:w="172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80D52E" w14:textId="17F41E1B" w:rsidR="005A6295" w:rsidRDefault="00BB70BE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cognitive control network</w:t>
            </w:r>
          </w:p>
        </w:tc>
        <w:tc>
          <w:tcPr>
            <w:tcW w:w="373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7F0A0D" w14:textId="5A936913" w:rsidR="005A6295" w:rsidRDefault="00D5299A">
            <w:pPr>
              <w:spacing w:after="0"/>
            </w:pPr>
            <w:r>
              <w:t>the part of the brain that helps you focus, remember, and make good choices.</w:t>
            </w:r>
          </w:p>
        </w:tc>
        <w:tc>
          <w:tcPr>
            <w:tcW w:w="391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B13B03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The cognitive control network helps you stay focused when you’d rather check your phone.</w:t>
            </w:r>
          </w:p>
        </w:tc>
      </w:tr>
      <w:tr w:rsidR="005A6295" w14:paraId="3FDD40B0" w14:textId="77777777">
        <w:trPr>
          <w:cantSplit/>
          <w:trHeight w:val="1170"/>
        </w:trPr>
        <w:tc>
          <w:tcPr>
            <w:tcW w:w="172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F81729" w14:textId="28BC9086" w:rsidR="005A6295" w:rsidRDefault="00D5299A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self-esteem</w:t>
            </w:r>
          </w:p>
        </w:tc>
        <w:tc>
          <w:tcPr>
            <w:tcW w:w="373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9D58E8" w14:textId="0F37B26E" w:rsidR="005A6295" w:rsidRDefault="00D5299A">
            <w:pPr>
              <w:spacing w:after="0"/>
            </w:pPr>
            <w:r>
              <w:t>how much you value and feel good about yourself.</w:t>
            </w:r>
          </w:p>
        </w:tc>
        <w:tc>
          <w:tcPr>
            <w:tcW w:w="391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68B465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Getting compliments from friends can boost your self-esteem.</w:t>
            </w:r>
          </w:p>
        </w:tc>
      </w:tr>
      <w:tr w:rsidR="005A6295" w14:paraId="69E149E7" w14:textId="77777777">
        <w:trPr>
          <w:cantSplit/>
          <w:trHeight w:val="1170"/>
        </w:trPr>
        <w:tc>
          <w:tcPr>
            <w:tcW w:w="172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076A0B" w14:textId="3D46EF8E" w:rsidR="005A6295" w:rsidRDefault="000A42E7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cyberbullying</w:t>
            </w:r>
          </w:p>
        </w:tc>
        <w:tc>
          <w:tcPr>
            <w:tcW w:w="373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7BF421" w14:textId="45779689" w:rsidR="005A6295" w:rsidRDefault="000A42E7">
            <w:pPr>
              <w:spacing w:after="0"/>
            </w:pPr>
            <w:r>
              <w:t>bullying or being mean to someone online.</w:t>
            </w:r>
          </w:p>
        </w:tc>
        <w:tc>
          <w:tcPr>
            <w:tcW w:w="391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513814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Cyberbullying happens when people post mean comments about someone online.</w:t>
            </w:r>
          </w:p>
        </w:tc>
      </w:tr>
      <w:tr w:rsidR="005A6295" w14:paraId="76C5D0E1" w14:textId="77777777">
        <w:trPr>
          <w:cantSplit/>
          <w:trHeight w:val="1170"/>
        </w:trPr>
        <w:tc>
          <w:tcPr>
            <w:tcW w:w="172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DD1FAD" w14:textId="6BA007F4" w:rsidR="005A6295" w:rsidRDefault="000A42E7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identity</w:t>
            </w:r>
          </w:p>
        </w:tc>
        <w:tc>
          <w:tcPr>
            <w:tcW w:w="373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14F3E1" w14:textId="2B05018F" w:rsidR="005A6295" w:rsidRDefault="000A42E7">
            <w:pPr>
              <w:spacing w:after="0"/>
            </w:pPr>
            <w:r>
              <w:t>who you are, including your interests, roles, and personality.</w:t>
            </w:r>
          </w:p>
        </w:tc>
        <w:tc>
          <w:tcPr>
            <w:tcW w:w="3915" w:type="dxa"/>
            <w:tcBorders>
              <w:top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DCFC3F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Trying new hobbies can be part of exploring your identity.</w:t>
            </w:r>
          </w:p>
        </w:tc>
      </w:tr>
      <w:tr w:rsidR="005A6295" w14:paraId="507BD3C4" w14:textId="77777777">
        <w:trPr>
          <w:cantSplit/>
          <w:trHeight w:val="114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EB3955" w14:textId="424168AC" w:rsidR="005A6295" w:rsidRDefault="000A42E7">
            <w:pPr>
              <w:spacing w:after="0"/>
              <w:jc w:val="center"/>
              <w:rPr>
                <w:color w:val="90192A"/>
              </w:rPr>
            </w:pPr>
            <w:r>
              <w:rPr>
                <w:b/>
                <w:color w:val="90192A"/>
              </w:rPr>
              <w:t>reward response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033370" w14:textId="73D59870" w:rsidR="005A6295" w:rsidRDefault="000A42E7">
            <w:pPr>
              <w:spacing w:after="0"/>
            </w:pPr>
            <w:r>
              <w:t>how the brain reacts when you get something enjoyable, like social media likes, candy, or compliments.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94D6A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A reward response in the brain makes you feel good when you earn a prize.</w:t>
            </w:r>
          </w:p>
        </w:tc>
      </w:tr>
      <w:tr w:rsidR="005A6295" w14:paraId="4DFFBB2B" w14:textId="77777777">
        <w:trPr>
          <w:cantSplit/>
          <w:trHeight w:val="960"/>
        </w:trPr>
        <w:tc>
          <w:tcPr>
            <w:tcW w:w="17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77F480" w14:textId="3434381A" w:rsidR="005A6295" w:rsidRDefault="000A42E7">
            <w:pPr>
              <w:spacing w:after="0"/>
              <w:jc w:val="center"/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depression / anxiety</w:t>
            </w:r>
          </w:p>
        </w:tc>
        <w:tc>
          <w:tcPr>
            <w:tcW w:w="3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EB945D" w14:textId="77777777" w:rsidR="005A6295" w:rsidRDefault="00000000">
            <w:pPr>
              <w:spacing w:after="0"/>
            </w:pPr>
            <w:r>
              <w:t>Mental health struggles that can cause sadness, worry, or stress.</w:t>
            </w:r>
          </w:p>
        </w:tc>
        <w:tc>
          <w:tcPr>
            <w:tcW w:w="39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A780A9" w14:textId="77777777" w:rsidR="005A6295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Talking to someone you trust can help if you’re struggling with depression or anxiety.</w:t>
            </w:r>
          </w:p>
        </w:tc>
      </w:tr>
    </w:tbl>
    <w:p w14:paraId="66BC507D" w14:textId="77777777" w:rsidR="005A6295" w:rsidRDefault="005A6295"/>
    <w:sectPr w:rsidR="005A62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9571" w14:textId="77777777" w:rsidR="004C3571" w:rsidRDefault="004C3571">
      <w:pPr>
        <w:spacing w:after="0" w:line="240" w:lineRule="auto"/>
      </w:pPr>
      <w:r>
        <w:separator/>
      </w:r>
    </w:p>
  </w:endnote>
  <w:endnote w:type="continuationSeparator" w:id="0">
    <w:p w14:paraId="7886D777" w14:textId="77777777" w:rsidR="004C3571" w:rsidRDefault="004C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CB20" w14:textId="77777777" w:rsidR="005A6295" w:rsidRDefault="005A62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1B09" w14:textId="77777777" w:rsidR="005A6295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A18758A" wp14:editId="77621E2C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A2C8589" wp14:editId="690B7C82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479B7" w14:textId="77777777" w:rsidR="005A629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TEEN TRIVIA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1844" w14:textId="77777777" w:rsidR="005A6295" w:rsidRDefault="005A62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F63D" w14:textId="77777777" w:rsidR="004C3571" w:rsidRDefault="004C3571">
      <w:pPr>
        <w:spacing w:after="0" w:line="240" w:lineRule="auto"/>
      </w:pPr>
      <w:r>
        <w:separator/>
      </w:r>
    </w:p>
  </w:footnote>
  <w:footnote w:type="continuationSeparator" w:id="0">
    <w:p w14:paraId="2EB2F63B" w14:textId="77777777" w:rsidR="004C3571" w:rsidRDefault="004C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7F0A" w14:textId="77777777" w:rsidR="005A6295" w:rsidRDefault="005A62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8560" w14:textId="77777777" w:rsidR="005A6295" w:rsidRDefault="005A62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D9B9" w14:textId="77777777" w:rsidR="005A6295" w:rsidRDefault="005A62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95"/>
    <w:rsid w:val="000A42E7"/>
    <w:rsid w:val="00153B68"/>
    <w:rsid w:val="0024715C"/>
    <w:rsid w:val="002F1254"/>
    <w:rsid w:val="004962A3"/>
    <w:rsid w:val="004C3571"/>
    <w:rsid w:val="00507B0D"/>
    <w:rsid w:val="005A6295"/>
    <w:rsid w:val="00622036"/>
    <w:rsid w:val="00923EE2"/>
    <w:rsid w:val="00BB70BE"/>
    <w:rsid w:val="00D5299A"/>
    <w:rsid w:val="00DC72BA"/>
    <w:rsid w:val="00E6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4096DD"/>
  <w15:docId w15:val="{CDAA548A-8F1F-344B-A670-5A0D082E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3364</Characters>
  <Application>Microsoft Office Word</Application>
  <DocSecurity>0</DocSecurity>
  <Lines>175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4</cp:revision>
  <dcterms:created xsi:type="dcterms:W3CDTF">2026-02-17T21:00:00Z</dcterms:created>
  <dcterms:modified xsi:type="dcterms:W3CDTF">2026-02-17T21:25:00Z</dcterms:modified>
</cp:coreProperties>
</file>