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546B" w14:textId="312E697E" w:rsidR="0031685F" w:rsidRPr="00F05FB7" w:rsidRDefault="0031685F" w:rsidP="0031685F">
      <w:pPr>
        <w:suppressAutoHyphens/>
        <w:spacing w:before="180"/>
        <w:rPr>
          <w:rStyle w:val="body"/>
          <w:rFonts w:asciiTheme="majorHAnsi" w:eastAsiaTheme="majorEastAsia" w:hAnsiTheme="majorHAnsi" w:cstheme="majorBidi"/>
          <w:b/>
          <w:bCs/>
          <w:color w:val="2E2E2E" w:themeColor="text1"/>
          <w:sz w:val="28"/>
          <w:szCs w:val="32"/>
          <w:lang w:val="es"/>
        </w:rPr>
      </w:pPr>
      <w:r>
        <w:rPr>
          <w:rStyle w:val="Heading1Char"/>
          <w:lang w:val="es"/>
        </w:rPr>
        <w:t xml:space="preserve">Estación 3: </w:t>
      </w:r>
    </w:p>
    <w:p w14:paraId="1ABD9565" w14:textId="77777777" w:rsidR="00367BD5" w:rsidRDefault="00367BD5" w:rsidP="009F6488">
      <w:pPr>
        <w:suppressAutoHyphens/>
        <w:spacing w:before="180"/>
        <w:rPr>
          <w:rStyle w:val="Heading2Char"/>
          <w:lang w:val="es"/>
        </w:rPr>
      </w:pPr>
      <w:r>
        <w:rPr>
          <w:rStyle w:val="Heading2Char"/>
          <w:lang w:val="es"/>
        </w:rPr>
        <w:t>Raza y etnia</w:t>
      </w:r>
    </w:p>
    <w:p w14:paraId="4214D0A8" w14:textId="119EF8DB" w:rsidR="00204D96" w:rsidRPr="00A95B82" w:rsidRDefault="009F6488" w:rsidP="009F6488">
      <w:pPr>
        <w:suppressAutoHyphens/>
        <w:spacing w:before="180"/>
        <w:rPr>
          <w:rFonts w:cs="OpenSans-Bold"/>
          <w:b/>
          <w:bCs/>
          <w:color w:val="A41E35"/>
          <w:szCs w:val="18"/>
          <w:lang w:val="es-US"/>
        </w:rPr>
      </w:pPr>
      <w:r>
        <w:rPr>
          <w:rStyle w:val="Heading2Char"/>
          <w:lang w:val="es"/>
        </w:rPr>
        <w:t>Antecedentes</w:t>
      </w:r>
      <w:r>
        <w:rPr>
          <w:rFonts w:cs="OpenSans-Bold"/>
          <w:b/>
          <w:bCs/>
          <w:color w:val="A41E35"/>
          <w:szCs w:val="18"/>
          <w:lang w:val="es"/>
        </w:rPr>
        <w:t xml:space="preserve"> </w:t>
      </w:r>
    </w:p>
    <w:p w14:paraId="0B654AB9" w14:textId="425F3B49" w:rsidR="009F6488" w:rsidRPr="00A95B82" w:rsidRDefault="007B5B2A" w:rsidP="006D22C5">
      <w:pPr>
        <w:spacing w:before="240" w:line="276" w:lineRule="auto"/>
        <w:rPr>
          <w:rStyle w:val="body"/>
          <w:rFonts w:ascii="Calibri" w:hAnsi="Calibri" w:cs="OpenSans-Bold"/>
          <w:b/>
          <w:bCs/>
          <w:color w:val="A41E35"/>
          <w:sz w:val="24"/>
          <w:szCs w:val="24"/>
          <w:lang w:val="es-US"/>
        </w:rPr>
      </w:pPr>
      <w:r>
        <w:rPr>
          <w:rStyle w:val="body"/>
          <w:rFonts w:ascii="Calibri" w:hAnsi="Calibri"/>
          <w:sz w:val="24"/>
          <w:szCs w:val="24"/>
          <w:lang w:val="es"/>
        </w:rPr>
        <w:t xml:space="preserve">“Algunos de los actos de violencia racial más crueles de la historia de Estados Unidos tuvieron lugar entre 1917 y 1923” (Smith, s.f., p. 6) en ciudades importantes como Tulsa y Chicago. La violencia se debió, en parte, a la gran afluencia de afroamericanos a las ciudades del norte para ocupar puestos de trabajo en las fábricas, llamada la </w:t>
      </w:r>
      <w:r>
        <w:rPr>
          <w:rStyle w:val="body"/>
          <w:rFonts w:ascii="Calibri" w:hAnsi="Calibri"/>
          <w:i/>
          <w:iCs/>
          <w:sz w:val="24"/>
          <w:szCs w:val="24"/>
          <w:lang w:val="es"/>
        </w:rPr>
        <w:t>Gran Migración</w:t>
      </w:r>
      <w:r>
        <w:rPr>
          <w:rStyle w:val="body"/>
          <w:rFonts w:ascii="Calibri" w:hAnsi="Calibri"/>
          <w:sz w:val="24"/>
          <w:szCs w:val="24"/>
          <w:lang w:val="es"/>
        </w:rPr>
        <w:t>, que comenzó durante la Primera Guerra Mundial. El Ku Klux Klan también experimentó un resurgimiento en la década de 1920; “el Klan ayudó a elegir a 16 senadores estadounidenses [así como] a muchos representantes y funcionarios locales. Para 1924, cuando el Ku Klux Klan había alcanzado su punto álgido en cuanto a número e influencia, afirmaba controlar 24 de las 48 legislaturas estatales del país” (Smith, s.f., p.6).</w:t>
      </w:r>
    </w:p>
    <w:p w14:paraId="47F05A85" w14:textId="730CAFE8" w:rsidR="009F6488" w:rsidRPr="00A95B82" w:rsidRDefault="009F6488" w:rsidP="006D22C5">
      <w:pPr>
        <w:spacing w:before="240" w:line="276" w:lineRule="auto"/>
        <w:rPr>
          <w:rStyle w:val="body"/>
          <w:rFonts w:ascii="Calibri" w:hAnsi="Calibri"/>
          <w:sz w:val="24"/>
          <w:szCs w:val="24"/>
          <w:lang w:val="es-US"/>
        </w:rPr>
      </w:pPr>
      <w:r>
        <w:rPr>
          <w:rStyle w:val="body"/>
          <w:rFonts w:ascii="Calibri" w:hAnsi="Calibri"/>
          <w:sz w:val="24"/>
          <w:szCs w:val="24"/>
          <w:lang w:val="es"/>
        </w:rPr>
        <w:t xml:space="preserve">Al mismo tiempo, la cultura afroamericana floreció en muchas grandes áreas metropolitanas a través de un movimiento conocido como el </w:t>
      </w:r>
      <w:r>
        <w:rPr>
          <w:rStyle w:val="body"/>
          <w:rFonts w:ascii="Calibri" w:hAnsi="Calibri"/>
          <w:i/>
          <w:iCs/>
          <w:sz w:val="24"/>
          <w:szCs w:val="24"/>
          <w:lang w:val="es"/>
        </w:rPr>
        <w:t>Renacimiento de Harlem</w:t>
      </w:r>
      <w:r>
        <w:rPr>
          <w:rStyle w:val="body"/>
          <w:rFonts w:ascii="Calibri" w:hAnsi="Calibri"/>
          <w:sz w:val="24"/>
          <w:szCs w:val="24"/>
          <w:lang w:val="es"/>
        </w:rPr>
        <w:t xml:space="preserve">. También conocido como </w:t>
      </w:r>
      <w:r>
        <w:rPr>
          <w:rStyle w:val="body"/>
          <w:rFonts w:ascii="Calibri" w:hAnsi="Calibri"/>
          <w:i/>
          <w:iCs/>
          <w:sz w:val="24"/>
          <w:szCs w:val="24"/>
          <w:lang w:val="es"/>
        </w:rPr>
        <w:t>Movimiento Nuevo Negro</w:t>
      </w:r>
      <w:r>
        <w:rPr>
          <w:rStyle w:val="body"/>
          <w:rFonts w:ascii="Calibri" w:hAnsi="Calibri"/>
          <w:sz w:val="24"/>
          <w:szCs w:val="24"/>
          <w:lang w:val="es"/>
        </w:rPr>
        <w:t>, el Renacimiento de Harlem fue un florecimiento de la expresión artística y cultural en los centros urbanos (como Harlem, Nueva York) que se vieron afectados por la Gran Migración de afroamericanos. Aunque existía un importante aprecio interracial por las contribuciones afroamericanas a la música, la literatura y el arte, también había una significativa tensión racial, como se observa en algunos de los siguientes documentos.</w:t>
      </w:r>
    </w:p>
    <w:p w14:paraId="6ACD8CCF" w14:textId="2DD39557" w:rsidR="009F6488" w:rsidRPr="00A95B82" w:rsidRDefault="006D22C5" w:rsidP="006D22C5">
      <w:pPr>
        <w:spacing w:before="240" w:line="276" w:lineRule="auto"/>
        <w:rPr>
          <w:rStyle w:val="body"/>
          <w:rFonts w:ascii="Calibri" w:hAnsi="Calibri"/>
          <w:sz w:val="24"/>
          <w:szCs w:val="24"/>
          <w:lang w:val="es-US"/>
        </w:rPr>
      </w:pPr>
      <w:r>
        <w:rPr>
          <w:rStyle w:val="body"/>
          <w:rFonts w:ascii="Calibri" w:hAnsi="Calibri"/>
          <w:sz w:val="24"/>
          <w:szCs w:val="24"/>
          <w:lang w:val="es"/>
        </w:rPr>
        <w:t>El KKK, junto con muchos estadounidenses medio, se opuso violentamente a la continua inmigración procedente del sur y el este de Europa. Muchos creían que estos inmigrantes no podían integrarse fácilmente a la sociedad estadounidense y traían consigo ideas políticas radicales, como el comunismo.</w:t>
      </w:r>
    </w:p>
    <w:p w14:paraId="7606E8D2" w14:textId="77777777" w:rsidR="006D22C5" w:rsidRPr="00A95B82" w:rsidRDefault="006D22C5" w:rsidP="006D22C5">
      <w:pPr>
        <w:spacing w:before="240" w:line="276" w:lineRule="auto"/>
        <w:rPr>
          <w:rStyle w:val="body"/>
          <w:rFonts w:ascii="Calibri" w:hAnsi="Calibri"/>
          <w:sz w:val="24"/>
          <w:szCs w:val="24"/>
          <w:lang w:val="es-US"/>
        </w:rPr>
      </w:pPr>
    </w:p>
    <w:p w14:paraId="03DEAF71" w14:textId="77777777" w:rsidR="003031CB" w:rsidRPr="00A95B82" w:rsidRDefault="003031CB" w:rsidP="006D22C5">
      <w:pPr>
        <w:spacing w:before="240" w:line="276" w:lineRule="auto"/>
        <w:rPr>
          <w:rStyle w:val="body"/>
          <w:rFonts w:ascii="Calibri" w:hAnsi="Calibri"/>
          <w:sz w:val="24"/>
          <w:szCs w:val="24"/>
          <w:lang w:val="es-US"/>
        </w:rPr>
      </w:pPr>
    </w:p>
    <w:p w14:paraId="10FD2425" w14:textId="77777777" w:rsidR="003031CB" w:rsidRPr="00A95B82" w:rsidRDefault="003031CB" w:rsidP="006D22C5">
      <w:pPr>
        <w:spacing w:before="240" w:line="276" w:lineRule="auto"/>
        <w:rPr>
          <w:rStyle w:val="body"/>
          <w:rFonts w:ascii="Calibri" w:hAnsi="Calibri"/>
          <w:sz w:val="24"/>
          <w:szCs w:val="24"/>
          <w:lang w:val="es-US"/>
        </w:rPr>
      </w:pPr>
    </w:p>
    <w:p w14:paraId="021EB1F6" w14:textId="0E548C67" w:rsidR="006D22C5" w:rsidRPr="00A95B82" w:rsidRDefault="006D22C5" w:rsidP="003031CB">
      <w:pPr>
        <w:pStyle w:val="Subtitle"/>
        <w:rPr>
          <w:rStyle w:val="body"/>
          <w:rFonts w:asciiTheme="majorHAnsi" w:hAnsiTheme="majorHAnsi" w:cstheme="majorBidi"/>
          <w:color w:val="3E5C61" w:themeColor="accent2"/>
          <w:szCs w:val="24"/>
          <w:lang w:val="es-US"/>
        </w:rPr>
      </w:pPr>
      <w:r>
        <w:rPr>
          <w:rStyle w:val="body"/>
          <w:rFonts w:asciiTheme="majorHAnsi" w:hAnsiTheme="majorHAnsi" w:cstheme="majorBidi"/>
          <w:color w:val="3E5C61" w:themeColor="accent2"/>
          <w:szCs w:val="24"/>
          <w:lang w:val="es"/>
        </w:rPr>
        <w:t xml:space="preserve">Smith, M. (n.d.) Los años de 1920 - Una visión general. Historia digital. Obtenido de </w:t>
      </w:r>
      <w:r>
        <w:rPr>
          <w:lang w:val="es"/>
        </w:rPr>
        <w:t>http://faculty.ithaca.edu/mismith/docs/USsince1865/1920s.pdf</w:t>
      </w:r>
    </w:p>
    <w:p w14:paraId="6963035C" w14:textId="77777777" w:rsidR="006D22C5" w:rsidRPr="00A95B82" w:rsidRDefault="006D22C5">
      <w:pPr>
        <w:rPr>
          <w:rStyle w:val="Heading2Char"/>
          <w:lang w:val="es-US"/>
        </w:rPr>
      </w:pPr>
      <w:r>
        <w:rPr>
          <w:rStyle w:val="Heading2Char"/>
          <w:lang w:val="es"/>
        </w:rPr>
        <w:br w:type="page"/>
      </w:r>
    </w:p>
    <w:p w14:paraId="37D4C0BE" w14:textId="46075ECC" w:rsidR="007E1283" w:rsidRPr="003031CB" w:rsidRDefault="009F6488" w:rsidP="009F6488">
      <w:pPr>
        <w:suppressAutoHyphens/>
        <w:spacing w:before="180"/>
        <w:rPr>
          <w:rStyle w:val="Heading2Char"/>
        </w:rPr>
      </w:pPr>
      <w:r w:rsidRPr="00A95B82">
        <w:rPr>
          <w:rStyle w:val="Heading2Char"/>
        </w:rPr>
        <w:lastRenderedPageBreak/>
        <w:t>Documento A: Hiram Wesley Evans, “The Klan's Fight for Americanism” (La lucha del Klan por el americanismo), The North American Review, marzo de 1926 (extracto)</w:t>
      </w:r>
    </w:p>
    <w:p w14:paraId="3108BA09" w14:textId="7E4299F6" w:rsidR="003031CB" w:rsidRPr="00A95B82" w:rsidRDefault="009F6488" w:rsidP="00114763">
      <w:pPr>
        <w:pStyle w:val="NoSpacing"/>
        <w:spacing w:before="240" w:line="276" w:lineRule="auto"/>
        <w:ind w:left="720" w:right="720"/>
        <w:jc w:val="both"/>
        <w:rPr>
          <w:sz w:val="24"/>
          <w:lang w:val="es-US"/>
        </w:rPr>
      </w:pPr>
      <w:r>
        <w:rPr>
          <w:sz w:val="24"/>
          <w:lang w:val="es"/>
        </w:rPr>
        <w:t>Somos un movimiento del pueblo sencillo, muy débil en materia de cultura, apoyo intelectual y liderazgo capacitado. Exigimos, y esperamos ganar, el retorno del poder a las manos del ciudadano medio, no muy culto, no excesivamente intelectualizado, pero totalmente virgen y no desamericanizado ciudadano medio de la vieja guardia [. . .]</w:t>
      </w:r>
    </w:p>
    <w:p w14:paraId="413ECFF1" w14:textId="62C6AFE5" w:rsidR="009F6488" w:rsidRPr="00A95B82" w:rsidRDefault="009F6488" w:rsidP="00114763">
      <w:pPr>
        <w:pStyle w:val="NoSpacing"/>
        <w:spacing w:before="240" w:line="276" w:lineRule="auto"/>
        <w:ind w:left="720" w:right="720"/>
        <w:jc w:val="both"/>
        <w:rPr>
          <w:sz w:val="24"/>
          <w:lang w:val="es-US"/>
        </w:rPr>
      </w:pPr>
      <w:r>
        <w:rPr>
          <w:sz w:val="24"/>
          <w:lang w:val="es"/>
        </w:rPr>
        <w:t>El Klan, por lo tanto, ha llegado a hablar en nombre de la gran masa de estadounidenses de la vieja guardia pionera. Creemos que los representa justa y fielmente, y nuestra prueba es su apoyo. Para entender el Klan, entonces, es necesario entender el carácter y la mente actual de la masa de los estadounidenses de la vieja guardia. La masa, hay que recordarlo, a diferencia de los “liberales” intelectualmente mestizos.</w:t>
      </w:r>
    </w:p>
    <w:p w14:paraId="21BC33FC" w14:textId="23CC8C42" w:rsidR="009F6488" w:rsidRPr="00A95B82" w:rsidRDefault="009F6488" w:rsidP="00114763">
      <w:pPr>
        <w:pStyle w:val="NoSpacing"/>
        <w:spacing w:before="240" w:line="276" w:lineRule="auto"/>
        <w:ind w:left="720" w:right="720"/>
        <w:jc w:val="both"/>
        <w:rPr>
          <w:sz w:val="24"/>
          <w:lang w:val="es-US"/>
        </w:rPr>
      </w:pPr>
      <w:r>
        <w:rPr>
          <w:sz w:val="24"/>
          <w:lang w:val="es"/>
        </w:rPr>
        <w:t>Se trata, en primer lugar, de una mezcla de varios pueblos de la llamada raza nórdica, la raza que, con todos sus defectos, ha dado al mundo casi toda la civilización moderna. El Klan no trata de representar a ningún pueblo más que a estos.</w:t>
      </w:r>
    </w:p>
    <w:p w14:paraId="7CDD113E" w14:textId="06E4DDD8" w:rsidR="003031CB" w:rsidRPr="00A95B82" w:rsidRDefault="003031CB" w:rsidP="003031CB">
      <w:pPr>
        <w:pStyle w:val="Subtitle"/>
        <w:rPr>
          <w:lang w:val="es-US"/>
        </w:rPr>
      </w:pPr>
    </w:p>
    <w:p w14:paraId="47EB84D7" w14:textId="6C891855" w:rsidR="003031CB" w:rsidRPr="00A95B82" w:rsidRDefault="003031CB" w:rsidP="003031CB">
      <w:pPr>
        <w:pStyle w:val="Subtitle"/>
        <w:rPr>
          <w:lang w:val="es-US"/>
        </w:rPr>
      </w:pPr>
    </w:p>
    <w:p w14:paraId="3153F5C3" w14:textId="7D000ED5" w:rsidR="003031CB" w:rsidRPr="00A95B82" w:rsidRDefault="003031CB" w:rsidP="003031CB">
      <w:pPr>
        <w:pStyle w:val="Subtitle"/>
        <w:rPr>
          <w:lang w:val="es-US"/>
        </w:rPr>
      </w:pPr>
    </w:p>
    <w:p w14:paraId="7D080284" w14:textId="77777777" w:rsidR="003031CB" w:rsidRPr="00A95B82" w:rsidRDefault="003031CB" w:rsidP="003031CB">
      <w:pPr>
        <w:pStyle w:val="Subtitle"/>
        <w:rPr>
          <w:lang w:val="es-US"/>
        </w:rPr>
      </w:pPr>
    </w:p>
    <w:p w14:paraId="2C827B02" w14:textId="77777777" w:rsidR="00114763" w:rsidRPr="00A95B82" w:rsidRDefault="00114763" w:rsidP="00114763">
      <w:pPr>
        <w:rPr>
          <w:lang w:val="es-US"/>
        </w:rPr>
      </w:pPr>
    </w:p>
    <w:p w14:paraId="24B5C59C" w14:textId="77777777" w:rsidR="00114763" w:rsidRPr="00A95B82" w:rsidRDefault="00114763" w:rsidP="00114763">
      <w:pPr>
        <w:rPr>
          <w:lang w:val="es-US"/>
        </w:rPr>
      </w:pPr>
    </w:p>
    <w:p w14:paraId="6C6AA8E4" w14:textId="77777777" w:rsidR="00114763" w:rsidRPr="00A95B82" w:rsidRDefault="00114763" w:rsidP="00114763">
      <w:pPr>
        <w:rPr>
          <w:lang w:val="es-US"/>
        </w:rPr>
      </w:pPr>
    </w:p>
    <w:p w14:paraId="068770F2" w14:textId="1F53EBC6" w:rsidR="003031CB" w:rsidRPr="00A95B82" w:rsidRDefault="003031CB" w:rsidP="003031CB">
      <w:pPr>
        <w:pStyle w:val="Subtitle"/>
        <w:rPr>
          <w:lang w:val="es-US"/>
        </w:rPr>
      </w:pPr>
      <w:r>
        <w:rPr>
          <w:lang w:val="es"/>
        </w:rPr>
        <w:t>Evans, H. W. (1926, marzo). La lucha del Klan por el americanismo. The North American Review, 223(830), 33-63. Obtenido de http://www.jstor.org/stable/25113510</w:t>
      </w:r>
    </w:p>
    <w:p w14:paraId="7A307490" w14:textId="2FF4A2DD" w:rsidR="006D3394" w:rsidRPr="00A95B82" w:rsidRDefault="006D3394" w:rsidP="006D3394">
      <w:pPr>
        <w:pStyle w:val="Subtitle"/>
        <w:rPr>
          <w:lang w:val="es-US"/>
        </w:rPr>
      </w:pPr>
      <w:r>
        <w:rPr>
          <w:lang w:val="es"/>
        </w:rPr>
        <w:t>Con fines educativos.</w:t>
      </w:r>
    </w:p>
    <w:p w14:paraId="10767C12" w14:textId="77777777" w:rsidR="00114763" w:rsidRPr="00A95B82" w:rsidRDefault="00114763">
      <w:pPr>
        <w:rPr>
          <w:rStyle w:val="Heading2Char"/>
          <w:lang w:val="es-US"/>
        </w:rPr>
      </w:pPr>
      <w:r>
        <w:rPr>
          <w:rStyle w:val="Heading2Char"/>
          <w:lang w:val="es"/>
        </w:rPr>
        <w:br w:type="page"/>
      </w:r>
    </w:p>
    <w:p w14:paraId="75AE9B64" w14:textId="1DC7A5B2" w:rsidR="009F6488" w:rsidRPr="00A95B82" w:rsidRDefault="009F6488" w:rsidP="009F6488">
      <w:pPr>
        <w:suppressAutoHyphens/>
        <w:spacing w:before="180"/>
        <w:rPr>
          <w:rFonts w:asciiTheme="majorHAnsi" w:eastAsiaTheme="majorEastAsia" w:hAnsiTheme="majorHAnsi" w:cstheme="majorBidi"/>
          <w:b/>
          <w:bCs/>
          <w:color w:val="910D28" w:themeColor="accent1"/>
          <w:sz w:val="22"/>
          <w:szCs w:val="26"/>
          <w:lang w:val="es-US"/>
        </w:rPr>
      </w:pPr>
      <w:r>
        <w:rPr>
          <w:rStyle w:val="Heading2Char"/>
          <w:lang w:val="es"/>
        </w:rPr>
        <w:lastRenderedPageBreak/>
        <w:t>Documento B: El KKK marcha por la avenida Pennsylvania, Washington, D.C., 192</w:t>
      </w:r>
      <w:r>
        <w:rPr>
          <w:rFonts w:asciiTheme="majorHAnsi" w:hAnsiTheme="majorHAnsi"/>
          <w:b/>
          <w:bCs/>
          <w:noProof/>
          <w:sz w:val="24"/>
          <w:lang w:val="es"/>
        </w:rPr>
        <w:drawing>
          <wp:anchor distT="0" distB="0" distL="114300" distR="114300" simplePos="0" relativeHeight="251659264" behindDoc="0" locked="0" layoutInCell="1" allowOverlap="1" wp14:anchorId="2ADC52E7" wp14:editId="174B2BA6">
            <wp:simplePos x="0" y="0"/>
            <wp:positionH relativeFrom="column">
              <wp:posOffset>0</wp:posOffset>
            </wp:positionH>
            <wp:positionV relativeFrom="paragraph">
              <wp:posOffset>341630</wp:posOffset>
            </wp:positionV>
            <wp:extent cx="5942965" cy="4429125"/>
            <wp:effectExtent l="0" t="0" r="635" b="9525"/>
            <wp:wrapTight wrapText="bothSides">
              <wp:wrapPolygon edited="0">
                <wp:start x="0" y="0"/>
                <wp:lineTo x="0" y="21554"/>
                <wp:lineTo x="21533" y="21554"/>
                <wp:lineTo x="21533"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8390" t="23762" r="38423" b="26868"/>
                    <a:stretch/>
                  </pic:blipFill>
                  <pic:spPr bwMode="auto">
                    <a:xfrm>
                      <a:off x="0" y="0"/>
                      <a:ext cx="5942965" cy="4429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Heading2Char"/>
          <w:lang w:val="es"/>
        </w:rPr>
        <w:t>6</w:t>
      </w:r>
    </w:p>
    <w:p w14:paraId="6D772CE6" w14:textId="77777777" w:rsidR="004E524C" w:rsidRPr="00A95B82" w:rsidRDefault="004E524C" w:rsidP="004E524C">
      <w:pPr>
        <w:pStyle w:val="Subtitle"/>
        <w:rPr>
          <w:lang w:val="es-US"/>
        </w:rPr>
      </w:pPr>
    </w:p>
    <w:p w14:paraId="10027842" w14:textId="77777777" w:rsidR="004E524C" w:rsidRPr="00A95B82" w:rsidRDefault="004E524C" w:rsidP="004E524C">
      <w:pPr>
        <w:pStyle w:val="Subtitle"/>
        <w:rPr>
          <w:lang w:val="es-US"/>
        </w:rPr>
      </w:pPr>
    </w:p>
    <w:p w14:paraId="49CC2377" w14:textId="77777777" w:rsidR="004E524C" w:rsidRPr="00A95B82" w:rsidRDefault="004E524C" w:rsidP="004E524C">
      <w:pPr>
        <w:pStyle w:val="Subtitle"/>
        <w:rPr>
          <w:lang w:val="es-US"/>
        </w:rPr>
      </w:pPr>
    </w:p>
    <w:p w14:paraId="37795B81" w14:textId="77777777" w:rsidR="004E524C" w:rsidRPr="00A95B82" w:rsidRDefault="004E524C" w:rsidP="004E524C">
      <w:pPr>
        <w:pStyle w:val="Subtitle"/>
        <w:rPr>
          <w:lang w:val="es-US"/>
        </w:rPr>
      </w:pPr>
    </w:p>
    <w:p w14:paraId="468C4982" w14:textId="6E0C6B24" w:rsidR="009F6488" w:rsidRPr="00A95B82" w:rsidRDefault="00B37164" w:rsidP="004E524C">
      <w:pPr>
        <w:pStyle w:val="Subtitle"/>
        <w:rPr>
          <w:lang w:val="es-US"/>
        </w:rPr>
      </w:pPr>
      <w:r>
        <w:rPr>
          <w:lang w:val="es"/>
        </w:rPr>
        <w:t>French, H. A. (1926, 13 de septiembre). Desfile del Ku Klux Klan, 13/9/26 [Imagen].  Colección de la Compañía Nacional de Fotografía (Biblioteca del Congreso). Extraído de http://www.loc.gov/pictures/item/npc2007016218/</w:t>
      </w:r>
    </w:p>
    <w:p w14:paraId="31D2C805" w14:textId="5BA23DFA" w:rsidR="004E524C" w:rsidRPr="00A95B82" w:rsidRDefault="006D3394" w:rsidP="006D3394">
      <w:pPr>
        <w:pStyle w:val="Subtitle"/>
        <w:rPr>
          <w:lang w:val="es-US"/>
        </w:rPr>
      </w:pPr>
      <w:r>
        <w:rPr>
          <w:lang w:val="es"/>
        </w:rPr>
        <w:t xml:space="preserve">Obra huérfana; imagen recortada para esta lección. </w:t>
      </w:r>
      <w:r>
        <w:rPr>
          <w:i w:val="0"/>
          <w:iCs w:val="0"/>
          <w:lang w:val="es"/>
        </w:rPr>
        <w:br w:type="page"/>
      </w:r>
    </w:p>
    <w:p w14:paraId="7FD0FEA2" w14:textId="16CA5AA9" w:rsidR="002613F3" w:rsidRPr="003B7AE9" w:rsidRDefault="009F6488" w:rsidP="002613F3">
      <w:pPr>
        <w:suppressAutoHyphens/>
        <w:spacing w:before="180"/>
        <w:rPr>
          <w:rStyle w:val="Heading2Char"/>
        </w:rPr>
      </w:pPr>
      <w:r w:rsidRPr="00A95B82">
        <w:rPr>
          <w:rStyle w:val="Heading2Char"/>
        </w:rPr>
        <w:lastRenderedPageBreak/>
        <w:t>Documento C: Langston Hughes, “The Negro Artist and the Racial Mountain” (El artista negro y la montaña racial), The Nation, 1926 (extracto)</w:t>
      </w:r>
      <w:r w:rsidRPr="00A95B82">
        <w:rPr>
          <w:rStyle w:val="Heading2Char"/>
          <w:sz w:val="18"/>
          <w:szCs w:val="18"/>
        </w:rPr>
        <w:t xml:space="preserve"> </w:t>
      </w:r>
    </w:p>
    <w:p w14:paraId="70232205" w14:textId="4BBD1CB8" w:rsidR="009F6488" w:rsidRPr="00A95B82" w:rsidRDefault="009F6488" w:rsidP="003B7AE9">
      <w:pPr>
        <w:spacing w:before="240" w:line="276" w:lineRule="auto"/>
        <w:ind w:left="720" w:right="720"/>
        <w:jc w:val="both"/>
        <w:rPr>
          <w:sz w:val="24"/>
          <w:lang w:val="es-US"/>
        </w:rPr>
      </w:pPr>
      <w:r>
        <w:rPr>
          <w:sz w:val="24"/>
          <w:lang w:val="es"/>
        </w:rPr>
        <w:t>Para mí, el jazz es una de las expresiones inherentes a la vida de los negros en Estados Unidos: el eterno tom-tom que late en el alma de los negros, el tom-tom de la rebelión contra el cansancio en un mundo de blancos, un mundo de trenes subterráneos, y de trabajo, trabajo, trabajo; el tom-tom de la alegría y la risa, y del dolor tragado en una sonrisa.</w:t>
      </w:r>
    </w:p>
    <w:p w14:paraId="0EDD1CB8" w14:textId="667C5B08" w:rsidR="009F6488" w:rsidRPr="00A95B82" w:rsidRDefault="004E524C" w:rsidP="003B7AE9">
      <w:pPr>
        <w:spacing w:before="240" w:line="276" w:lineRule="auto"/>
        <w:ind w:left="720" w:right="720"/>
        <w:jc w:val="both"/>
        <w:rPr>
          <w:sz w:val="24"/>
          <w:lang w:val="es-US"/>
        </w:rPr>
      </w:pPr>
      <w:r>
        <w:rPr>
          <w:sz w:val="24"/>
          <w:lang w:val="es"/>
        </w:rPr>
        <w:t>Sin embargo, la mujer de club de Filadelfia [. . .] levanta la nariz ante el jazz y todas sus manifestaciones, al igual que casi cualquier otra cosa claramente racial [. . .] Quiere que el artista la adule, que haga creer al mundo blanco que todos los negros son tan presumidos y tan cercanos al alma blanca como ella quiere ser. Pero, en mi opinión, el deber del joven artista negro [. . .] es cambiar, mediante la fuerza de su arte, ese viejo susurro de “quiero ser blanco”, oculto en las aspiraciones de su pueblo, por el de “¿por qué voy a querer ser blanco? Soy negro y hermoso”.</w:t>
      </w:r>
    </w:p>
    <w:p w14:paraId="597303C2" w14:textId="6265512C" w:rsidR="004E524C" w:rsidRPr="00A95B82" w:rsidRDefault="004E524C" w:rsidP="004E524C">
      <w:pPr>
        <w:spacing w:before="240" w:line="276" w:lineRule="auto"/>
        <w:ind w:right="720"/>
        <w:rPr>
          <w:i/>
          <w:color w:val="626B6B" w:themeColor="background2" w:themeShade="BF"/>
          <w:sz w:val="24"/>
          <w:lang w:val="es-US"/>
        </w:rPr>
      </w:pPr>
    </w:p>
    <w:p w14:paraId="2C63FE5F" w14:textId="0C001A67" w:rsidR="004E524C" w:rsidRPr="00A95B82" w:rsidRDefault="004E524C" w:rsidP="003B7AE9">
      <w:pPr>
        <w:pStyle w:val="Subtitle"/>
        <w:rPr>
          <w:lang w:val="es-US"/>
        </w:rPr>
      </w:pPr>
      <w:r>
        <w:rPr>
          <w:rStyle w:val="SubtleEmphasis"/>
          <w:i/>
          <w:iCs/>
          <w:color w:val="3E5C61" w:themeColor="accent2"/>
          <w:lang w:val="es"/>
        </w:rPr>
        <w:t xml:space="preserve">Hughes, L. (1926). El artista negro y la montaña racial. </w:t>
      </w:r>
      <w:r w:rsidRPr="00A95B82">
        <w:rPr>
          <w:rStyle w:val="SubtleEmphasis"/>
          <w:i/>
          <w:iCs/>
          <w:color w:val="3E5C61" w:themeColor="accent2"/>
        </w:rPr>
        <w:t xml:space="preserve">The Nation, 122(318), 692-694. En C. D. Wintz (Ed.) </w:t>
      </w:r>
      <w:r>
        <w:rPr>
          <w:lang w:val="es"/>
        </w:rPr>
        <w:t>La política y la estética de la “nueva literatura negra”. Nueva York: Garland Publishing, Inc.</w:t>
      </w:r>
    </w:p>
    <w:p w14:paraId="25E6C43C" w14:textId="5718B726" w:rsidR="006D3394" w:rsidRPr="00A95B82" w:rsidRDefault="006D3394" w:rsidP="006D3394">
      <w:pPr>
        <w:pStyle w:val="Subtitle"/>
        <w:rPr>
          <w:lang w:val="es-US"/>
        </w:rPr>
      </w:pPr>
      <w:r>
        <w:rPr>
          <w:lang w:val="es"/>
        </w:rPr>
        <w:t>Con fines educativos.</w:t>
      </w:r>
    </w:p>
    <w:p w14:paraId="7AE18D3A" w14:textId="77777777" w:rsidR="006D3394" w:rsidRPr="00A95B82" w:rsidRDefault="006D3394" w:rsidP="006D3394">
      <w:pPr>
        <w:suppressAutoHyphens/>
        <w:spacing w:before="180" w:after="240"/>
        <w:rPr>
          <w:rStyle w:val="Heading2Char"/>
          <w:lang w:val="es-US"/>
        </w:rPr>
      </w:pPr>
    </w:p>
    <w:p w14:paraId="3657E3D1" w14:textId="20B4D523" w:rsidR="002613F3" w:rsidRPr="00A95B82" w:rsidRDefault="009F6488" w:rsidP="006D3394">
      <w:pPr>
        <w:suppressAutoHyphens/>
        <w:spacing w:before="180" w:after="240"/>
        <w:rPr>
          <w:rStyle w:val="Heading2Char"/>
          <w:lang w:val="es-US"/>
        </w:rPr>
      </w:pPr>
      <w:r>
        <w:rPr>
          <w:rStyle w:val="Heading2Char"/>
          <w:lang w:val="es"/>
        </w:rPr>
        <w:t>Documento D: Claude McKay, “The Barrier” (La barrera), 1922</w:t>
      </w:r>
    </w:p>
    <w:tbl>
      <w:tblPr>
        <w:tblW w:w="8550" w:type="dxa"/>
        <w:tblCellSpacing w:w="0" w:type="dxa"/>
        <w:tblInd w:w="720" w:type="dxa"/>
        <w:shd w:val="clear" w:color="auto" w:fill="FFFFFF"/>
        <w:tblCellMar>
          <w:left w:w="0" w:type="dxa"/>
          <w:right w:w="0" w:type="dxa"/>
        </w:tblCellMar>
        <w:tblLook w:val="04A0" w:firstRow="1" w:lastRow="0" w:firstColumn="1" w:lastColumn="0" w:noHBand="0" w:noVBand="1"/>
      </w:tblPr>
      <w:tblGrid>
        <w:gridCol w:w="8550"/>
      </w:tblGrid>
      <w:tr w:rsidR="006D3394" w:rsidRPr="003B7AE9" w14:paraId="052E3A9C" w14:textId="77777777" w:rsidTr="006D3394">
        <w:trPr>
          <w:trHeight w:val="287"/>
          <w:tblCellSpacing w:w="0" w:type="dxa"/>
        </w:trPr>
        <w:tc>
          <w:tcPr>
            <w:tcW w:w="8550" w:type="dxa"/>
            <w:shd w:val="clear" w:color="auto" w:fill="FFFFFF"/>
            <w:vAlign w:val="center"/>
            <w:hideMark/>
          </w:tcPr>
          <w:p w14:paraId="5B77275E" w14:textId="57EB856A" w:rsidR="006D3394" w:rsidRPr="00B77E67" w:rsidRDefault="006D3394" w:rsidP="006D3394">
            <w:pPr>
              <w:rPr>
                <w:rStyle w:val="SubtleEmphasis"/>
                <w:i w:val="0"/>
                <w:color w:val="2E2E2E" w:themeColor="text1"/>
                <w:sz w:val="24"/>
              </w:rPr>
            </w:pPr>
            <w:r>
              <w:rPr>
                <w:rStyle w:val="SubtleEmphasis"/>
                <w:i w:val="0"/>
                <w:iCs w:val="0"/>
                <w:color w:val="2E2E2E" w:themeColor="text1"/>
                <w:sz w:val="24"/>
                <w:lang w:val="es"/>
              </w:rPr>
              <w:t>NO DEBO mirarlos aunque</w:t>
            </w:r>
          </w:p>
        </w:tc>
      </w:tr>
      <w:tr w:rsidR="006D3394" w:rsidRPr="003B7AE9" w14:paraId="4CCA1461" w14:textId="77777777" w:rsidTr="006D3394">
        <w:trPr>
          <w:trHeight w:val="300"/>
          <w:tblCellSpacing w:w="0" w:type="dxa"/>
        </w:trPr>
        <w:tc>
          <w:tcPr>
            <w:tcW w:w="8550" w:type="dxa"/>
            <w:shd w:val="clear" w:color="auto" w:fill="FFFFFF"/>
            <w:vAlign w:val="center"/>
            <w:hideMark/>
          </w:tcPr>
          <w:p w14:paraId="598B3701" w14:textId="77777777" w:rsidR="006D3394" w:rsidRPr="00B77E67" w:rsidRDefault="006D3394" w:rsidP="00A34E13">
            <w:pPr>
              <w:rPr>
                <w:rStyle w:val="SubtleEmphasis"/>
                <w:i w:val="0"/>
                <w:color w:val="2E2E2E" w:themeColor="text1"/>
                <w:sz w:val="24"/>
              </w:rPr>
            </w:pPr>
            <w:r>
              <w:rPr>
                <w:rStyle w:val="SubtleEmphasis"/>
                <w:i w:val="0"/>
                <w:iCs w:val="0"/>
                <w:color w:val="2E2E2E" w:themeColor="text1"/>
                <w:sz w:val="24"/>
                <w:lang w:val="es"/>
              </w:rPr>
              <w:t>  Tus ojos están amaneciendo;</w:t>
            </w:r>
          </w:p>
        </w:tc>
      </w:tr>
      <w:tr w:rsidR="006D3394" w:rsidRPr="00A95B82" w14:paraId="6B1727F6" w14:textId="77777777" w:rsidTr="006D3394">
        <w:trPr>
          <w:trHeight w:val="287"/>
          <w:tblCellSpacing w:w="0" w:type="dxa"/>
        </w:trPr>
        <w:tc>
          <w:tcPr>
            <w:tcW w:w="8550" w:type="dxa"/>
            <w:shd w:val="clear" w:color="auto" w:fill="FFFFFF"/>
            <w:vAlign w:val="center"/>
            <w:hideMark/>
          </w:tcPr>
          <w:p w14:paraId="7F7CA01B"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No debo mirarte mientras te vas</w:t>
            </w:r>
          </w:p>
        </w:tc>
      </w:tr>
      <w:tr w:rsidR="006D3394" w:rsidRPr="00A95B82" w14:paraId="28E9DC15" w14:textId="77777777" w:rsidTr="006D3394">
        <w:trPr>
          <w:trHeight w:val="300"/>
          <w:tblCellSpacing w:w="0" w:type="dxa"/>
        </w:trPr>
        <w:tc>
          <w:tcPr>
            <w:tcW w:w="8550" w:type="dxa"/>
            <w:shd w:val="clear" w:color="auto" w:fill="FFFFFF"/>
            <w:vAlign w:val="center"/>
            <w:hideMark/>
          </w:tcPr>
          <w:p w14:paraId="726507D1"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  Tu camino iluminado por el sol;</w:t>
            </w:r>
          </w:p>
        </w:tc>
      </w:tr>
      <w:tr w:rsidR="006D3394" w:rsidRPr="00A95B82" w14:paraId="367C9E30" w14:textId="77777777" w:rsidTr="006D3394">
        <w:trPr>
          <w:trHeight w:val="287"/>
          <w:tblCellSpacing w:w="0" w:type="dxa"/>
        </w:trPr>
        <w:tc>
          <w:tcPr>
            <w:tcW w:w="8550" w:type="dxa"/>
            <w:shd w:val="clear" w:color="auto" w:fill="FFFFFF"/>
            <w:vAlign w:val="center"/>
            <w:hideMark/>
          </w:tcPr>
          <w:p w14:paraId="2EACCE8C"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 </w:t>
            </w:r>
          </w:p>
        </w:tc>
      </w:tr>
      <w:tr w:rsidR="006D3394" w:rsidRPr="00A95B82" w14:paraId="125AA6AE" w14:textId="77777777" w:rsidTr="006D3394">
        <w:trPr>
          <w:trHeight w:val="287"/>
          <w:tblCellSpacing w:w="0" w:type="dxa"/>
        </w:trPr>
        <w:tc>
          <w:tcPr>
            <w:tcW w:w="8550" w:type="dxa"/>
            <w:shd w:val="clear" w:color="auto" w:fill="FFFFFF"/>
            <w:vAlign w:val="center"/>
            <w:hideMark/>
          </w:tcPr>
          <w:p w14:paraId="65CD5C4B"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Oigo pero no debo hacer caso</w:t>
            </w:r>
          </w:p>
        </w:tc>
      </w:tr>
      <w:tr w:rsidR="006D3394" w:rsidRPr="003B7AE9" w14:paraId="69BD3136" w14:textId="77777777" w:rsidTr="006D3394">
        <w:trPr>
          <w:trHeight w:val="300"/>
          <w:tblCellSpacing w:w="0" w:type="dxa"/>
        </w:trPr>
        <w:tc>
          <w:tcPr>
            <w:tcW w:w="8550" w:type="dxa"/>
            <w:shd w:val="clear" w:color="auto" w:fill="FFFFFF"/>
            <w:vAlign w:val="center"/>
            <w:hideMark/>
          </w:tcPr>
          <w:p w14:paraId="3AB9173C" w14:textId="77777777" w:rsidR="006D3394" w:rsidRPr="00B77E67" w:rsidRDefault="006D3394" w:rsidP="00A34E13">
            <w:pPr>
              <w:rPr>
                <w:rStyle w:val="SubtleEmphasis"/>
                <w:i w:val="0"/>
                <w:color w:val="2E2E2E" w:themeColor="text1"/>
                <w:sz w:val="24"/>
              </w:rPr>
            </w:pPr>
            <w:r>
              <w:rPr>
                <w:rStyle w:val="SubtleEmphasis"/>
                <w:i w:val="0"/>
                <w:iCs w:val="0"/>
                <w:color w:val="2E2E2E" w:themeColor="text1"/>
                <w:sz w:val="24"/>
                <w:lang w:val="es"/>
              </w:rPr>
              <w:t>  La nota fascinante,</w:t>
            </w:r>
          </w:p>
        </w:tc>
      </w:tr>
      <w:tr w:rsidR="006D3394" w:rsidRPr="00A95B82" w14:paraId="5126C9EE" w14:textId="77777777" w:rsidTr="006D3394">
        <w:trPr>
          <w:trHeight w:val="287"/>
          <w:tblCellSpacing w:w="0" w:type="dxa"/>
        </w:trPr>
        <w:tc>
          <w:tcPr>
            <w:tcW w:w="8550" w:type="dxa"/>
            <w:shd w:val="clear" w:color="auto" w:fill="FFFFFF"/>
            <w:vAlign w:val="center"/>
            <w:hideMark/>
          </w:tcPr>
          <w:p w14:paraId="1A15CB59"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Que, acanalando como una caña de río,</w:t>
            </w:r>
          </w:p>
        </w:tc>
      </w:tr>
      <w:tr w:rsidR="006D3394" w:rsidRPr="00A95B82" w14:paraId="031A3EC4" w14:textId="77777777" w:rsidTr="006D3394">
        <w:trPr>
          <w:trHeight w:val="300"/>
          <w:tblCellSpacing w:w="0" w:type="dxa"/>
        </w:trPr>
        <w:tc>
          <w:tcPr>
            <w:tcW w:w="8550" w:type="dxa"/>
            <w:shd w:val="clear" w:color="auto" w:fill="FFFFFF"/>
            <w:vAlign w:val="center"/>
            <w:hideMark/>
          </w:tcPr>
          <w:p w14:paraId="581D9CEE"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  Sale de tu garganta temblorosa;</w:t>
            </w:r>
          </w:p>
        </w:tc>
      </w:tr>
      <w:tr w:rsidR="006D3394" w:rsidRPr="00A95B82" w14:paraId="4896273B" w14:textId="77777777" w:rsidTr="006D3394">
        <w:trPr>
          <w:trHeight w:val="287"/>
          <w:tblCellSpacing w:w="0" w:type="dxa"/>
        </w:trPr>
        <w:tc>
          <w:tcPr>
            <w:tcW w:w="8550" w:type="dxa"/>
            <w:shd w:val="clear" w:color="auto" w:fill="FFFFFF"/>
            <w:vAlign w:val="center"/>
            <w:hideMark/>
          </w:tcPr>
          <w:p w14:paraId="20E692B0"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 </w:t>
            </w:r>
          </w:p>
        </w:tc>
      </w:tr>
      <w:tr w:rsidR="006D3394" w:rsidRPr="00A95B82" w14:paraId="1CF98F14" w14:textId="77777777" w:rsidTr="006D3394">
        <w:trPr>
          <w:trHeight w:val="287"/>
          <w:tblCellSpacing w:w="0" w:type="dxa"/>
        </w:trPr>
        <w:tc>
          <w:tcPr>
            <w:tcW w:w="8550" w:type="dxa"/>
            <w:shd w:val="clear" w:color="auto" w:fill="FFFFFF"/>
            <w:vAlign w:val="center"/>
            <w:hideMark/>
          </w:tcPr>
          <w:p w14:paraId="436BE33E"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No debo ver en tu cara</w:t>
            </w:r>
          </w:p>
        </w:tc>
      </w:tr>
      <w:tr w:rsidR="006D3394" w:rsidRPr="00A95B82" w14:paraId="73CA5BD2" w14:textId="77777777" w:rsidTr="006D3394">
        <w:trPr>
          <w:trHeight w:val="300"/>
          <w:tblCellSpacing w:w="0" w:type="dxa"/>
        </w:trPr>
        <w:tc>
          <w:tcPr>
            <w:tcW w:w="8550" w:type="dxa"/>
            <w:shd w:val="clear" w:color="auto" w:fill="FFFFFF"/>
            <w:vAlign w:val="center"/>
            <w:hideMark/>
          </w:tcPr>
          <w:p w14:paraId="2CF2A5AB"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  La suave chispa del amor;</w:t>
            </w:r>
          </w:p>
        </w:tc>
      </w:tr>
      <w:tr w:rsidR="006D3394" w:rsidRPr="00A95B82" w14:paraId="48B4981C" w14:textId="77777777" w:rsidTr="006D3394">
        <w:trPr>
          <w:trHeight w:val="287"/>
          <w:tblCellSpacing w:w="0" w:type="dxa"/>
        </w:trPr>
        <w:tc>
          <w:tcPr>
            <w:tcW w:w="8550" w:type="dxa"/>
            <w:shd w:val="clear" w:color="auto" w:fill="FFFFFF"/>
            <w:vAlign w:val="center"/>
            <w:hideMark/>
          </w:tcPr>
          <w:p w14:paraId="35318B2A"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Porque ahí está la barrera de la raza,</w:t>
            </w:r>
          </w:p>
        </w:tc>
      </w:tr>
      <w:tr w:rsidR="006D3394" w:rsidRPr="00A95B82" w14:paraId="4874AAFF" w14:textId="77777777" w:rsidTr="006D3394">
        <w:trPr>
          <w:trHeight w:val="300"/>
          <w:tblCellSpacing w:w="0" w:type="dxa"/>
        </w:trPr>
        <w:tc>
          <w:tcPr>
            <w:tcW w:w="8550" w:type="dxa"/>
            <w:shd w:val="clear" w:color="auto" w:fill="FFFFFF"/>
            <w:vAlign w:val="center"/>
            <w:hideMark/>
          </w:tcPr>
          <w:p w14:paraId="533C3972" w14:textId="77777777" w:rsidR="006D3394" w:rsidRPr="00A95B82" w:rsidRDefault="006D3394" w:rsidP="00A34E13">
            <w:pPr>
              <w:rPr>
                <w:rStyle w:val="SubtleEmphasis"/>
                <w:i w:val="0"/>
                <w:color w:val="2E2E2E" w:themeColor="text1"/>
                <w:sz w:val="24"/>
                <w:lang w:val="es-US"/>
              </w:rPr>
            </w:pPr>
            <w:r>
              <w:rPr>
                <w:rStyle w:val="SubtleEmphasis"/>
                <w:i w:val="0"/>
                <w:iCs w:val="0"/>
                <w:color w:val="2E2E2E" w:themeColor="text1"/>
                <w:sz w:val="24"/>
                <w:lang w:val="es"/>
              </w:rPr>
              <w:t>  Tú eres rubia y yo soy moreno.</w:t>
            </w:r>
          </w:p>
        </w:tc>
      </w:tr>
    </w:tbl>
    <w:p w14:paraId="1ED2BC01" w14:textId="4F3144CA" w:rsidR="009F6488" w:rsidRPr="00A95B82" w:rsidRDefault="009F6488" w:rsidP="009F6488">
      <w:pPr>
        <w:widowControl w:val="0"/>
        <w:autoSpaceDE w:val="0"/>
        <w:autoSpaceDN w:val="0"/>
        <w:adjustRightInd w:val="0"/>
        <w:rPr>
          <w:rFonts w:asciiTheme="majorHAnsi" w:hAnsiTheme="majorHAnsi" w:cs="Verdana"/>
          <w:sz w:val="24"/>
          <w:lang w:val="es-US"/>
        </w:rPr>
      </w:pPr>
    </w:p>
    <w:p w14:paraId="3A55929A" w14:textId="77777777" w:rsidR="00331942" w:rsidRPr="00A95B82" w:rsidRDefault="00331942" w:rsidP="006D3394">
      <w:pPr>
        <w:pStyle w:val="Subtitle"/>
        <w:rPr>
          <w:lang w:val="es-US"/>
        </w:rPr>
      </w:pPr>
    </w:p>
    <w:p w14:paraId="5C30102D" w14:textId="016A22C8" w:rsidR="002613F3" w:rsidRPr="00A95B82" w:rsidRDefault="006D3394" w:rsidP="006D3394">
      <w:pPr>
        <w:pStyle w:val="Subtitle"/>
        <w:rPr>
          <w:lang w:val="es-US"/>
        </w:rPr>
      </w:pPr>
      <w:r>
        <w:rPr>
          <w:lang w:val="es"/>
        </w:rPr>
        <w:t xml:space="preserve">McKay, C. (1922). La barrera. En J. W. Johnson (Ed.) </w:t>
      </w:r>
      <w:r w:rsidRPr="00A95B82">
        <w:t xml:space="preserve">The Book of American Negro Poetry. </w:t>
      </w:r>
      <w:r>
        <w:rPr>
          <w:lang w:val="es"/>
        </w:rPr>
        <w:t>Extraído de http://www.bartleby.com/269/81.html</w:t>
      </w:r>
    </w:p>
    <w:p w14:paraId="5FC4FC04" w14:textId="4F67C813" w:rsidR="006D3394" w:rsidRPr="00A95B82" w:rsidRDefault="006D3394" w:rsidP="006D3394">
      <w:pPr>
        <w:pStyle w:val="Subtitle"/>
        <w:rPr>
          <w:lang w:val="es-US"/>
        </w:rPr>
      </w:pPr>
      <w:r>
        <w:rPr>
          <w:lang w:val="es"/>
        </w:rPr>
        <w:t>Dominio público.</w:t>
      </w:r>
    </w:p>
    <w:p w14:paraId="15833337" w14:textId="5BBCBB87" w:rsidR="009F6488" w:rsidRPr="00A95B82" w:rsidRDefault="006D3394" w:rsidP="00A95B82">
      <w:pPr>
        <w:rPr>
          <w:rStyle w:val="Heading2Char"/>
          <w:lang w:val="es-US"/>
        </w:rPr>
      </w:pPr>
      <w:r>
        <w:rPr>
          <w:rStyle w:val="Heading2Char"/>
          <w:lang w:val="es"/>
        </w:rPr>
        <w:br w:type="page"/>
      </w:r>
      <w:r w:rsidR="009F6488">
        <w:rPr>
          <w:rStyle w:val="Heading2Char"/>
          <w:lang w:val="es"/>
        </w:rPr>
        <w:lastRenderedPageBreak/>
        <w:t>Documento E: “Guarding the Gates Against Undesirables” (Vigilando las puertas contra los indeseables) Current Opinion, abril, 1924 (Extracto)</w:t>
      </w:r>
    </w:p>
    <w:p w14:paraId="013D99B1" w14:textId="77777777" w:rsidR="00787D1A" w:rsidRPr="00A95B82" w:rsidRDefault="009F6488" w:rsidP="00B77E67">
      <w:pPr>
        <w:spacing w:before="240" w:line="276" w:lineRule="auto"/>
        <w:ind w:left="720" w:right="720"/>
        <w:jc w:val="both"/>
        <w:rPr>
          <w:rStyle w:val="SubtleEmphasis"/>
          <w:i w:val="0"/>
          <w:color w:val="2E2E2E" w:themeColor="text1"/>
          <w:sz w:val="24"/>
          <w:lang w:val="es-US"/>
        </w:rPr>
      </w:pPr>
      <w:r>
        <w:rPr>
          <w:rStyle w:val="SubtleEmphasis"/>
          <w:i w:val="0"/>
          <w:iCs w:val="0"/>
          <w:color w:val="2E2E2E" w:themeColor="text1"/>
          <w:sz w:val="24"/>
          <w:lang w:val="es"/>
        </w:rPr>
        <w:t xml:space="preserve">Contra estos pueblos no asimilados e inasimilables la medida propuesta sería discriminatoria. Todos ellos representan la nueva inmigración. Antes de 1890, Estados Unidos recibía principalmente gente del norte y del oeste de Europa. Desde 1890, la mayoría procede del sur y del este de Europa. Al basar las cuotas en el censo de 1890, la inmigración italiana se reduciría de más de cuarenta mil a menos de cuatro mil, los rusos de más de veinte mil a menos de dos mil, y los polacos de unos veinte mil a cinco mil, admisibles en un año. El nuevo proyecto de ley no reduciría en gran medida el número de personas que llegarían desde el Reino Unido, Suecia, Noruega, Dinamarca, Francia y Alemania. Estos grupos no han protestado contra una medida que pretende reducir el total de la inmigración aproximadamente a la mitad, de unas trescientas sesenta mil a unas ciento ochenta mil personas. </w:t>
      </w:r>
    </w:p>
    <w:p w14:paraId="655093B1" w14:textId="333DBE12" w:rsidR="009F6488" w:rsidRPr="00A95B82" w:rsidRDefault="009F6488" w:rsidP="00B77E67">
      <w:pPr>
        <w:spacing w:before="240" w:line="276" w:lineRule="auto"/>
        <w:ind w:left="720" w:right="720"/>
        <w:jc w:val="both"/>
        <w:rPr>
          <w:rStyle w:val="SubtleEmphasis"/>
          <w:i w:val="0"/>
          <w:color w:val="2E2E2E" w:themeColor="text1"/>
          <w:sz w:val="24"/>
          <w:lang w:val="es-US"/>
        </w:rPr>
      </w:pPr>
      <w:r>
        <w:rPr>
          <w:rStyle w:val="SubtleEmphasis"/>
          <w:i w:val="0"/>
          <w:iCs w:val="0"/>
          <w:color w:val="2E2E2E" w:themeColor="text1"/>
          <w:sz w:val="24"/>
          <w:lang w:val="es"/>
        </w:rPr>
        <w:t>No hay que parpadear el hecho de que ciertas razas no se fusionan con nosotros y no tienen intención de intentar convertirse en estadounidenses. Los polacos, por ejemplo, están decididos a seguir siendo polacos. Sin duda, esto es un buen patriotismo polaco, pero es un americanismo muy malo. La Dieta polaca, como señala el Indianapolis News, ha adoptado una resolución en la que se pide al gobierno que solicite a la Santa Sede que utilice su influencia ante la jerarquía católica de Estados Unidos para permitir que se siga utilizando la lengua polaca en las iglesias y escuelas parroquiales polacas. ¡Un despacho de Varsovia declara que la resolución forma parte de un esfuerzo por detener “la americanización sistemática de los polacos”! Sin embargo, como declara el News, si vamos a permitir que vengan polacos en el futuro, “la americanización sistemática” de ellos debe continuar.</w:t>
      </w:r>
    </w:p>
    <w:p w14:paraId="0E8ED0AA" w14:textId="77777777" w:rsidR="00B77E67" w:rsidRPr="00A95B82" w:rsidRDefault="00B77E67" w:rsidP="009F1735">
      <w:pPr>
        <w:spacing w:before="240" w:line="276" w:lineRule="auto"/>
        <w:jc w:val="both"/>
        <w:rPr>
          <w:sz w:val="24"/>
          <w:lang w:val="es-US"/>
        </w:rPr>
      </w:pPr>
    </w:p>
    <w:p w14:paraId="17E7BCA3" w14:textId="77777777" w:rsidR="00B77E67" w:rsidRPr="00A95B82" w:rsidRDefault="00B77E67" w:rsidP="009F1735">
      <w:pPr>
        <w:spacing w:before="240" w:line="276" w:lineRule="auto"/>
        <w:jc w:val="both"/>
        <w:rPr>
          <w:sz w:val="24"/>
          <w:lang w:val="es-US"/>
        </w:rPr>
      </w:pPr>
    </w:p>
    <w:p w14:paraId="303C7981" w14:textId="77777777" w:rsidR="00B77E67" w:rsidRPr="00A95B82" w:rsidRDefault="00B77E67" w:rsidP="009F1735">
      <w:pPr>
        <w:spacing w:before="240" w:line="276" w:lineRule="auto"/>
        <w:jc w:val="both"/>
        <w:rPr>
          <w:sz w:val="24"/>
          <w:lang w:val="es-US"/>
        </w:rPr>
      </w:pPr>
    </w:p>
    <w:p w14:paraId="1B0E1DDC" w14:textId="77777777" w:rsidR="00B77E67" w:rsidRPr="00A95B82" w:rsidRDefault="00B77E67" w:rsidP="009F1735">
      <w:pPr>
        <w:spacing w:before="240" w:line="276" w:lineRule="auto"/>
        <w:jc w:val="both"/>
        <w:rPr>
          <w:sz w:val="24"/>
          <w:lang w:val="es-US"/>
        </w:rPr>
      </w:pPr>
    </w:p>
    <w:p w14:paraId="5F3ED32A" w14:textId="122235BC" w:rsidR="009F6488" w:rsidRPr="00A95B82" w:rsidRDefault="00787D1A" w:rsidP="00B77E67">
      <w:pPr>
        <w:pStyle w:val="Subtitle"/>
        <w:rPr>
          <w:lang w:val="es-US"/>
        </w:rPr>
      </w:pPr>
      <w:r>
        <w:rPr>
          <w:lang w:val="es"/>
        </w:rPr>
        <w:t>Ku Klux Klan. (1924, abril). Vigilando las puertas contra los indeseables. Current Opinion, 400-401. Extraído de https://ehistory.osu.edu/sites/ehistory.osu.edu/files/mmh/clash/Imm_KKK/Immigration%20Pages/Documents/guardinggatesagainstundesirables.htm</w:t>
      </w:r>
    </w:p>
    <w:p w14:paraId="3B988356" w14:textId="64F35D12" w:rsidR="00331942" w:rsidRPr="00A95B82" w:rsidRDefault="00331942" w:rsidP="00331942">
      <w:pPr>
        <w:pStyle w:val="Subtitle"/>
        <w:rPr>
          <w:lang w:val="es-US"/>
        </w:rPr>
      </w:pPr>
      <w:r>
        <w:rPr>
          <w:lang w:val="es"/>
        </w:rPr>
        <w:t>Con fines educativos.</w:t>
      </w:r>
    </w:p>
    <w:p w14:paraId="786B1852" w14:textId="77777777" w:rsidR="00937B31" w:rsidRPr="00A95B82" w:rsidRDefault="00937B31" w:rsidP="009F6488">
      <w:pPr>
        <w:suppressAutoHyphens/>
        <w:spacing w:before="180"/>
        <w:rPr>
          <w:rFonts w:ascii="Corbel" w:hAnsi="Corbel"/>
          <w:noProof/>
          <w:sz w:val="21"/>
          <w:szCs w:val="21"/>
          <w:lang w:val="es-US"/>
        </w:rPr>
      </w:pPr>
    </w:p>
    <w:p w14:paraId="3F7BD530" w14:textId="77777777" w:rsidR="00937B31" w:rsidRPr="00A95B82" w:rsidRDefault="00937B31">
      <w:pPr>
        <w:rPr>
          <w:rStyle w:val="Heading2Char"/>
          <w:lang w:val="es-US"/>
        </w:rPr>
      </w:pPr>
      <w:r>
        <w:rPr>
          <w:rStyle w:val="Heading2Char"/>
          <w:lang w:val="es"/>
        </w:rPr>
        <w:br w:type="page"/>
      </w:r>
    </w:p>
    <w:p w14:paraId="0837DCF6" w14:textId="7A9E1168" w:rsidR="009F6488" w:rsidRPr="00A95B82" w:rsidRDefault="001C7033" w:rsidP="009F6488">
      <w:pPr>
        <w:suppressAutoHyphens/>
        <w:spacing w:before="180"/>
        <w:rPr>
          <w:rStyle w:val="Heading2Char"/>
          <w:lang w:val="es-US"/>
        </w:rPr>
      </w:pPr>
      <w:r>
        <w:rPr>
          <w:rStyle w:val="Heading2Char"/>
          <w:lang w:val="es"/>
        </w:rPr>
        <w:lastRenderedPageBreak/>
        <w:t>Documento F: Caricatura que ilustra la Ley de Cuotas de Emergencia de 1921 (renovada en 1924)</w:t>
      </w:r>
    </w:p>
    <w:p w14:paraId="3AE97A8C" w14:textId="5362A823" w:rsidR="002613F3" w:rsidRPr="00A95B82" w:rsidRDefault="00937B31" w:rsidP="009F6488">
      <w:pPr>
        <w:suppressAutoHyphens/>
        <w:spacing w:before="180"/>
        <w:rPr>
          <w:rStyle w:val="Heading2Char"/>
          <w:sz w:val="18"/>
          <w:szCs w:val="18"/>
          <w:lang w:val="es-US"/>
        </w:rPr>
      </w:pPr>
      <w:r>
        <w:rPr>
          <w:rFonts w:ascii="Corbel" w:hAnsi="Corbel"/>
          <w:noProof/>
          <w:sz w:val="21"/>
          <w:szCs w:val="21"/>
          <w:lang w:val="es"/>
        </w:rPr>
        <w:drawing>
          <wp:anchor distT="0" distB="0" distL="114300" distR="114300" simplePos="0" relativeHeight="251660288" behindDoc="1" locked="0" layoutInCell="1" allowOverlap="1" wp14:anchorId="03FD4823" wp14:editId="4AE46C7B">
            <wp:simplePos x="0" y="0"/>
            <wp:positionH relativeFrom="column">
              <wp:posOffset>23495</wp:posOffset>
            </wp:positionH>
            <wp:positionV relativeFrom="paragraph">
              <wp:posOffset>230505</wp:posOffset>
            </wp:positionV>
            <wp:extent cx="3744595" cy="5403215"/>
            <wp:effectExtent l="0" t="0" r="8255"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b="4992"/>
                    <a:stretch/>
                  </pic:blipFill>
                  <pic:spPr bwMode="auto">
                    <a:xfrm>
                      <a:off x="0" y="0"/>
                      <a:ext cx="3744595" cy="5403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Heading2Char"/>
          <w:sz w:val="18"/>
          <w:szCs w:val="18"/>
          <w:lang w:val="es"/>
        </w:rPr>
        <w:t xml:space="preserve"> </w:t>
      </w:r>
    </w:p>
    <w:p w14:paraId="62246FA7" w14:textId="217070B1" w:rsidR="00F96524" w:rsidRPr="00A95B82" w:rsidRDefault="001C7033" w:rsidP="009F6488">
      <w:pPr>
        <w:suppressAutoHyphens/>
        <w:spacing w:before="180"/>
        <w:rPr>
          <w:rFonts w:ascii="Corbel" w:hAnsi="Corbel" w:cs="Helvetica"/>
          <w:sz w:val="21"/>
          <w:szCs w:val="21"/>
          <w:lang w:val="es-US"/>
        </w:rPr>
      </w:pPr>
      <w:r>
        <w:rPr>
          <w:rFonts w:ascii="Corbel" w:hAnsi="Corbel"/>
          <w:sz w:val="21"/>
          <w:szCs w:val="21"/>
          <w:lang w:val="es"/>
        </w:rPr>
        <w:t xml:space="preserve">El número de inmigrantes admitidos en Estados Unidos procedentes de cualquier otro país estaba limitado al 3% del número total de residentes en Estados Unidos (según el censo de 1910). Esto redujo drásticamente el número de inmigrantes del sur y el este de Europa. </w:t>
      </w:r>
    </w:p>
    <w:p w14:paraId="3F90F062" w14:textId="77777777" w:rsidR="00937B31" w:rsidRPr="00A95B82" w:rsidRDefault="00937B31" w:rsidP="009F6488">
      <w:pPr>
        <w:suppressAutoHyphens/>
        <w:spacing w:before="180"/>
        <w:rPr>
          <w:rFonts w:ascii="Corbel" w:hAnsi="Corbel" w:cs="Helvetica"/>
          <w:sz w:val="21"/>
          <w:szCs w:val="21"/>
          <w:lang w:val="es-US"/>
        </w:rPr>
      </w:pPr>
    </w:p>
    <w:p w14:paraId="0CAE76C5" w14:textId="77777777" w:rsidR="00937B31" w:rsidRPr="00A95B82" w:rsidRDefault="00937B31" w:rsidP="009F6488">
      <w:pPr>
        <w:suppressAutoHyphens/>
        <w:spacing w:before="180"/>
        <w:rPr>
          <w:rFonts w:ascii="Corbel" w:hAnsi="Corbel" w:cs="Helvetica"/>
          <w:sz w:val="21"/>
          <w:szCs w:val="21"/>
          <w:lang w:val="es-US"/>
        </w:rPr>
      </w:pPr>
    </w:p>
    <w:p w14:paraId="1C0F1F5D" w14:textId="77777777" w:rsidR="00937B31" w:rsidRPr="00A95B82" w:rsidRDefault="00937B31" w:rsidP="009F6488">
      <w:pPr>
        <w:suppressAutoHyphens/>
        <w:spacing w:before="180"/>
        <w:rPr>
          <w:rFonts w:ascii="Corbel" w:hAnsi="Corbel" w:cs="Helvetica"/>
          <w:sz w:val="21"/>
          <w:szCs w:val="21"/>
          <w:lang w:val="es-US"/>
        </w:rPr>
      </w:pPr>
    </w:p>
    <w:p w14:paraId="0B32E451" w14:textId="77777777" w:rsidR="00937B31" w:rsidRPr="00A95B82" w:rsidRDefault="00937B31" w:rsidP="009F6488">
      <w:pPr>
        <w:suppressAutoHyphens/>
        <w:spacing w:before="180"/>
        <w:rPr>
          <w:rFonts w:ascii="Corbel" w:hAnsi="Corbel" w:cs="Helvetica"/>
          <w:sz w:val="21"/>
          <w:szCs w:val="21"/>
          <w:lang w:val="es-US"/>
        </w:rPr>
      </w:pPr>
    </w:p>
    <w:p w14:paraId="3A6DAD60" w14:textId="77777777" w:rsidR="00937B31" w:rsidRPr="00A95B82" w:rsidRDefault="00937B31" w:rsidP="009F6488">
      <w:pPr>
        <w:suppressAutoHyphens/>
        <w:spacing w:before="180"/>
        <w:rPr>
          <w:rFonts w:ascii="Corbel" w:hAnsi="Corbel" w:cs="Helvetica"/>
          <w:sz w:val="21"/>
          <w:szCs w:val="21"/>
          <w:lang w:val="es-US"/>
        </w:rPr>
      </w:pPr>
    </w:p>
    <w:p w14:paraId="1CA10D53" w14:textId="77777777" w:rsidR="00937B31" w:rsidRPr="00A95B82" w:rsidRDefault="00937B31" w:rsidP="009F6488">
      <w:pPr>
        <w:suppressAutoHyphens/>
        <w:spacing w:before="180"/>
        <w:rPr>
          <w:rFonts w:ascii="Corbel" w:hAnsi="Corbel" w:cs="Helvetica"/>
          <w:sz w:val="21"/>
          <w:szCs w:val="21"/>
          <w:lang w:val="es-US"/>
        </w:rPr>
      </w:pPr>
    </w:p>
    <w:p w14:paraId="6988EDA2" w14:textId="77777777" w:rsidR="00937B31" w:rsidRPr="00A95B82" w:rsidRDefault="00937B31" w:rsidP="009F6488">
      <w:pPr>
        <w:suppressAutoHyphens/>
        <w:spacing w:before="180"/>
        <w:rPr>
          <w:rFonts w:ascii="Corbel" w:hAnsi="Corbel" w:cs="Helvetica"/>
          <w:sz w:val="21"/>
          <w:szCs w:val="21"/>
          <w:lang w:val="es-US"/>
        </w:rPr>
      </w:pPr>
    </w:p>
    <w:p w14:paraId="451160CE" w14:textId="77777777" w:rsidR="00937B31" w:rsidRPr="00A95B82" w:rsidRDefault="00937B31" w:rsidP="009F6488">
      <w:pPr>
        <w:suppressAutoHyphens/>
        <w:spacing w:before="180"/>
        <w:rPr>
          <w:rFonts w:ascii="Corbel" w:hAnsi="Corbel" w:cs="Helvetica"/>
          <w:sz w:val="21"/>
          <w:szCs w:val="21"/>
          <w:lang w:val="es-US"/>
        </w:rPr>
      </w:pPr>
    </w:p>
    <w:p w14:paraId="46BB8977" w14:textId="77777777" w:rsidR="00937B31" w:rsidRPr="00A95B82" w:rsidRDefault="00937B31" w:rsidP="009F6488">
      <w:pPr>
        <w:suppressAutoHyphens/>
        <w:spacing w:before="180"/>
        <w:rPr>
          <w:rFonts w:ascii="Corbel" w:hAnsi="Corbel" w:cs="Helvetica"/>
          <w:sz w:val="21"/>
          <w:szCs w:val="21"/>
          <w:lang w:val="es-US"/>
        </w:rPr>
      </w:pPr>
    </w:p>
    <w:p w14:paraId="239570C6" w14:textId="77777777" w:rsidR="00937B31" w:rsidRPr="00A95B82" w:rsidRDefault="00937B31" w:rsidP="009F6488">
      <w:pPr>
        <w:suppressAutoHyphens/>
        <w:spacing w:before="180"/>
        <w:rPr>
          <w:rFonts w:ascii="Corbel" w:hAnsi="Corbel" w:cs="Helvetica"/>
          <w:sz w:val="21"/>
          <w:szCs w:val="21"/>
          <w:lang w:val="es-US"/>
        </w:rPr>
      </w:pPr>
    </w:p>
    <w:p w14:paraId="37142DE7" w14:textId="77777777" w:rsidR="00937B31" w:rsidRPr="00A95B82" w:rsidRDefault="00937B31" w:rsidP="009F6488">
      <w:pPr>
        <w:suppressAutoHyphens/>
        <w:spacing w:before="180"/>
        <w:rPr>
          <w:rFonts w:ascii="Corbel" w:hAnsi="Corbel" w:cs="Helvetica"/>
          <w:sz w:val="21"/>
          <w:szCs w:val="21"/>
          <w:lang w:val="es-US"/>
        </w:rPr>
      </w:pPr>
    </w:p>
    <w:p w14:paraId="1C31C5D2" w14:textId="77777777" w:rsidR="00937B31" w:rsidRPr="00A95B82" w:rsidRDefault="00937B31" w:rsidP="009F6488">
      <w:pPr>
        <w:suppressAutoHyphens/>
        <w:spacing w:before="180"/>
        <w:rPr>
          <w:rFonts w:ascii="Corbel" w:hAnsi="Corbel" w:cs="Helvetica"/>
          <w:sz w:val="21"/>
          <w:szCs w:val="21"/>
          <w:lang w:val="es-US"/>
        </w:rPr>
      </w:pPr>
    </w:p>
    <w:p w14:paraId="4EDFD5FE" w14:textId="77777777" w:rsidR="00937B31" w:rsidRPr="00A95B82" w:rsidRDefault="00937B31" w:rsidP="00937B31">
      <w:pPr>
        <w:pStyle w:val="Subtitle"/>
        <w:rPr>
          <w:lang w:val="es-US"/>
        </w:rPr>
      </w:pPr>
    </w:p>
    <w:p w14:paraId="7C214D82" w14:textId="77777777" w:rsidR="00937B31" w:rsidRPr="00A95B82" w:rsidRDefault="00937B31" w:rsidP="00937B31">
      <w:pPr>
        <w:pStyle w:val="Subtitle"/>
        <w:rPr>
          <w:lang w:val="es-US"/>
        </w:rPr>
      </w:pPr>
    </w:p>
    <w:p w14:paraId="24A76512" w14:textId="77777777" w:rsidR="00937B31" w:rsidRPr="00A95B82" w:rsidRDefault="00937B31" w:rsidP="00937B31">
      <w:pPr>
        <w:pStyle w:val="Subtitle"/>
        <w:rPr>
          <w:lang w:val="es-US"/>
        </w:rPr>
      </w:pPr>
    </w:p>
    <w:p w14:paraId="44DD2C4B" w14:textId="77777777" w:rsidR="00937B31" w:rsidRPr="00A95B82" w:rsidRDefault="00937B31" w:rsidP="00937B31">
      <w:pPr>
        <w:pStyle w:val="Subtitle"/>
        <w:rPr>
          <w:lang w:val="es-US"/>
        </w:rPr>
      </w:pPr>
    </w:p>
    <w:p w14:paraId="382279BC" w14:textId="77777777" w:rsidR="001C7033" w:rsidRPr="00A95B82" w:rsidRDefault="001C7033" w:rsidP="001C7033">
      <w:pPr>
        <w:rPr>
          <w:lang w:val="es-US"/>
        </w:rPr>
      </w:pPr>
    </w:p>
    <w:p w14:paraId="1DA4ECFA" w14:textId="77777777" w:rsidR="001C7033" w:rsidRPr="00A95B82" w:rsidRDefault="001C7033" w:rsidP="001C7033">
      <w:pPr>
        <w:rPr>
          <w:lang w:val="es-US"/>
        </w:rPr>
      </w:pPr>
    </w:p>
    <w:p w14:paraId="5B23F7D4" w14:textId="77777777" w:rsidR="001C7033" w:rsidRPr="00A95B82" w:rsidRDefault="001C7033" w:rsidP="001C7033">
      <w:pPr>
        <w:rPr>
          <w:lang w:val="es-US"/>
        </w:rPr>
      </w:pPr>
    </w:p>
    <w:p w14:paraId="0DE76506" w14:textId="77777777" w:rsidR="001C7033" w:rsidRPr="00A95B82" w:rsidRDefault="001C7033" w:rsidP="001C7033">
      <w:pPr>
        <w:rPr>
          <w:lang w:val="es-US"/>
        </w:rPr>
      </w:pPr>
    </w:p>
    <w:p w14:paraId="011B44F7" w14:textId="77777777" w:rsidR="001C7033" w:rsidRPr="00A95B82" w:rsidRDefault="001C7033" w:rsidP="001C7033">
      <w:pPr>
        <w:rPr>
          <w:lang w:val="es-US"/>
        </w:rPr>
      </w:pPr>
    </w:p>
    <w:p w14:paraId="73F92165" w14:textId="77777777" w:rsidR="00937B31" w:rsidRPr="00A95B82" w:rsidRDefault="00937B31" w:rsidP="00937B31">
      <w:pPr>
        <w:pStyle w:val="Subtitle"/>
        <w:rPr>
          <w:lang w:val="es-US"/>
        </w:rPr>
      </w:pPr>
    </w:p>
    <w:p w14:paraId="3662BD56" w14:textId="47BA6835" w:rsidR="00937B31" w:rsidRPr="00A95B82" w:rsidRDefault="00937B31" w:rsidP="00937B31">
      <w:pPr>
        <w:pStyle w:val="Subtitle"/>
        <w:rPr>
          <w:lang w:val="es-US"/>
        </w:rPr>
      </w:pPr>
      <w:r>
        <w:rPr>
          <w:lang w:val="es"/>
        </w:rPr>
        <w:t>Hallahan. (1921, 7 de mayo). The Literary Digest, 69. Nueva York: Funk &amp; Wagnalls. Extraído de https://books.google.com/books?id=XlNFAQAAMAAJ&amp;pg=RA5-PA13&amp;lpg=RA5-PA13&amp;dq=hallhan+literario+digest+inmigrantes+1921&amp;source=bl&amp;ots=TglOz-8WhI&amp;sig=tUPzaOkomBEl2szc3TXY3f0Z19s&amp;hl=es&amp;sa=X&amp;ved=0ahUKEwjOssbOuM3MAhVU3mMKHZx5BZEQ6AEINzAE#v=onepage&amp;q=hallhan%20literario%20digest%20inmigrantes%201921&amp;f=false</w:t>
      </w:r>
    </w:p>
    <w:p w14:paraId="1182F736" w14:textId="68528844" w:rsidR="00937B31" w:rsidRPr="00937B31" w:rsidRDefault="00937B31" w:rsidP="00937B31">
      <w:pPr>
        <w:pStyle w:val="Subtitle"/>
      </w:pPr>
      <w:r>
        <w:rPr>
          <w:lang w:val="es"/>
        </w:rPr>
        <w:t>Dominio público</w:t>
      </w:r>
    </w:p>
    <w:sectPr w:rsidR="00937B31" w:rsidRPr="00937B31" w:rsidSect="002613F3">
      <w:foot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B8C0" w14:textId="77777777" w:rsidR="00D41805" w:rsidRDefault="00D41805" w:rsidP="000858BD">
      <w:r>
        <w:separator/>
      </w:r>
    </w:p>
  </w:endnote>
  <w:endnote w:type="continuationSeparator" w:id="0">
    <w:p w14:paraId="1C9D938D" w14:textId="77777777" w:rsidR="00D41805" w:rsidRDefault="00D41805"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HGPMinchoE">
    <w:altName w:val="Arial Unicode MS"/>
    <w:panose1 w:val="02020900000000000000"/>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OpenSans">
    <w:altName w:val="Calibri"/>
    <w:panose1 w:val="020B0604020202020204"/>
    <w:charset w:val="00"/>
    <w:family w:val="auto"/>
    <w:pitch w:val="variable"/>
    <w:sig w:usb0="E00002EF" w:usb1="4000205B" w:usb2="00000028" w:usb3="00000000" w:csb0="0000019F" w:csb1="00000000"/>
  </w:font>
  <w:font w:name="OpenSans-Bold">
    <w:altName w:val="Cambria"/>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6250" w14:textId="77777777" w:rsidR="009F6488" w:rsidRDefault="009F6488"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0AB68F19" wp14:editId="189C7A77">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9B57F8" w14:textId="46101D73" w:rsidR="009F6488" w:rsidRDefault="00114763" w:rsidP="000858BD">
                          <w:pPr>
                            <w:tabs>
                              <w:tab w:val="right" w:pos="7740"/>
                            </w:tabs>
                            <w:jc w:val="right"/>
                            <w:rPr>
                              <w:b/>
                              <w:sz w:val="22"/>
                              <w:szCs w:val="22"/>
                            </w:rPr>
                          </w:pPr>
                          <w:r>
                            <w:rPr>
                              <w:b/>
                              <w:bCs/>
                              <w:sz w:val="22"/>
                              <w:szCs w:val="22"/>
                              <w:lang w:val="es"/>
                            </w:rPr>
                            <w:t>MODERNISM VS. TRADITIONALISM</w:t>
                          </w:r>
                        </w:p>
                        <w:p w14:paraId="3F8A7965" w14:textId="77777777" w:rsidR="009F6488" w:rsidRDefault="009F64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B68F19"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" filled="f" stroked="f">
              <v:textbox>
                <w:txbxContent>
                  <w:p w14:paraId="019B57F8" w14:textId="46101D73" w:rsidR="009F6488" w:rsidRDefault="00114763" w:rsidP="000858BD">
                    <w:pPr>
                      <w:tabs>
                        <w:tab w:val="right" w:pos="7740"/>
                      </w:tabs>
                      <w:jc w:val="right"/>
                      <w:rPr>
                        <w:b/>
                        <w:sz w:val="22"/>
                        <w:szCs w:val="22"/>
                      </w:rPr>
                    </w:pPr>
                    <w:r>
                      <w:rPr>
                        <w:b/>
                        <w:bCs/>
                        <w:sz w:val="22"/>
                        <w:szCs w:val="22"/>
                        <w:lang w:val="es"/>
                      </w:rPr>
                      <w:t>MODERNISM VS. TRADITIONALISM</w:t>
                    </w:r>
                  </w:p>
                  <w:p w14:paraId="3F8A7965" w14:textId="77777777" w:rsidR="009F6488" w:rsidRDefault="009F6488"/>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4612EC8A" wp14:editId="5F0944A5">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A73E" w14:textId="77777777" w:rsidR="00D41805" w:rsidRDefault="00D41805" w:rsidP="000858BD">
      <w:r>
        <w:separator/>
      </w:r>
    </w:p>
  </w:footnote>
  <w:footnote w:type="continuationSeparator" w:id="0">
    <w:p w14:paraId="4BCB6DAD" w14:textId="77777777" w:rsidR="00D41805" w:rsidRDefault="00D41805" w:rsidP="0008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BD"/>
    <w:rsid w:val="000858BD"/>
    <w:rsid w:val="00114763"/>
    <w:rsid w:val="0011581D"/>
    <w:rsid w:val="001A14E2"/>
    <w:rsid w:val="001C7033"/>
    <w:rsid w:val="00204D96"/>
    <w:rsid w:val="002613F3"/>
    <w:rsid w:val="003031CB"/>
    <w:rsid w:val="0031685F"/>
    <w:rsid w:val="00331942"/>
    <w:rsid w:val="00367BD5"/>
    <w:rsid w:val="003B7AE9"/>
    <w:rsid w:val="003D7861"/>
    <w:rsid w:val="004E524C"/>
    <w:rsid w:val="00516478"/>
    <w:rsid w:val="00572C85"/>
    <w:rsid w:val="005B2A6C"/>
    <w:rsid w:val="006D22C5"/>
    <w:rsid w:val="006D3394"/>
    <w:rsid w:val="00787D1A"/>
    <w:rsid w:val="00793A76"/>
    <w:rsid w:val="007B5B2A"/>
    <w:rsid w:val="007E1283"/>
    <w:rsid w:val="007F4D86"/>
    <w:rsid w:val="00895DF1"/>
    <w:rsid w:val="00937B31"/>
    <w:rsid w:val="009F1735"/>
    <w:rsid w:val="009F6488"/>
    <w:rsid w:val="00A57937"/>
    <w:rsid w:val="00A841D3"/>
    <w:rsid w:val="00A95B82"/>
    <w:rsid w:val="00AB38AC"/>
    <w:rsid w:val="00AC2386"/>
    <w:rsid w:val="00AF61B5"/>
    <w:rsid w:val="00B37164"/>
    <w:rsid w:val="00B441CE"/>
    <w:rsid w:val="00B77E67"/>
    <w:rsid w:val="00B95A41"/>
    <w:rsid w:val="00C80FAD"/>
    <w:rsid w:val="00D41805"/>
    <w:rsid w:val="00D57E4C"/>
    <w:rsid w:val="00D77E23"/>
    <w:rsid w:val="00DE3CB0"/>
    <w:rsid w:val="00F96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220639"/>
  <w14:defaultImageDpi w14:val="300"/>
  <w15:docId w15:val="{6A3DFD96-8C01-407A-973E-58CD6E47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character" w:styleId="Hyperlink">
    <w:name w:val="Hyperlink"/>
    <w:uiPriority w:val="99"/>
    <w:unhideWhenUsed/>
    <w:rsid w:val="009F6488"/>
    <w:rPr>
      <w:color w:val="0000FF"/>
      <w:u w:val="single"/>
    </w:rPr>
  </w:style>
  <w:style w:type="paragraph" w:styleId="Footer">
    <w:name w:val="footer"/>
    <w:basedOn w:val="Normal"/>
    <w:link w:val="FooterChar"/>
    <w:uiPriority w:val="99"/>
    <w:unhideWhenUsed/>
    <w:rsid w:val="009F6488"/>
    <w:pPr>
      <w:tabs>
        <w:tab w:val="center" w:pos="4320"/>
        <w:tab w:val="right" w:pos="8640"/>
      </w:tabs>
    </w:pPr>
  </w:style>
  <w:style w:type="character" w:customStyle="1" w:styleId="FooterChar">
    <w:name w:val="Footer Char"/>
    <w:basedOn w:val="DefaultParagraphFont"/>
    <w:link w:val="Footer"/>
    <w:uiPriority w:val="99"/>
    <w:rsid w:val="009F6488"/>
    <w:rPr>
      <w:rFonts w:ascii="Calibri" w:hAnsi="Calibri"/>
      <w:color w:val="2E2E2E" w:themeColor="text1"/>
      <w:sz w:val="18"/>
    </w:rPr>
  </w:style>
  <w:style w:type="character" w:styleId="FollowedHyperlink">
    <w:name w:val="FollowedHyperlink"/>
    <w:basedOn w:val="DefaultParagraphFont"/>
    <w:uiPriority w:val="99"/>
    <w:semiHidden/>
    <w:unhideWhenUsed/>
    <w:rsid w:val="006D22C5"/>
    <w:rPr>
      <w:color w:val="6D8F9B" w:themeColor="followedHyperlink"/>
      <w:u w:val="single"/>
    </w:rPr>
  </w:style>
  <w:style w:type="paragraph" w:styleId="NoSpacing">
    <w:name w:val="No Spacing"/>
    <w:uiPriority w:val="1"/>
    <w:qFormat/>
    <w:rsid w:val="006D22C5"/>
    <w:rPr>
      <w:rFonts w:ascii="Calibri" w:hAnsi="Calibri"/>
      <w:color w:val="2E2E2E" w:themeColor="text1"/>
      <w:sz w:val="18"/>
    </w:rPr>
  </w:style>
  <w:style w:type="paragraph" w:styleId="Quote">
    <w:name w:val="Quote"/>
    <w:basedOn w:val="Normal"/>
    <w:next w:val="Normal"/>
    <w:link w:val="QuoteChar"/>
    <w:uiPriority w:val="29"/>
    <w:qFormat/>
    <w:rsid w:val="003031CB"/>
    <w:pPr>
      <w:spacing w:before="200" w:after="160"/>
      <w:ind w:left="864" w:right="864"/>
      <w:jc w:val="center"/>
    </w:pPr>
    <w:rPr>
      <w:i/>
      <w:iCs/>
      <w:color w:val="626262" w:themeColor="text1" w:themeTint="BF"/>
    </w:rPr>
  </w:style>
  <w:style w:type="character" w:customStyle="1" w:styleId="QuoteChar">
    <w:name w:val="Quote Char"/>
    <w:basedOn w:val="DefaultParagraphFont"/>
    <w:link w:val="Quote"/>
    <w:uiPriority w:val="29"/>
    <w:rsid w:val="003031CB"/>
    <w:rPr>
      <w:rFonts w:ascii="Calibri" w:hAnsi="Calibri"/>
      <w:i/>
      <w:iCs/>
      <w:color w:val="626262" w:themeColor="text1" w:themeTint="BF"/>
      <w:sz w:val="18"/>
    </w:rPr>
  </w:style>
  <w:style w:type="character" w:styleId="SubtleEmphasis">
    <w:name w:val="Subtle Emphasis"/>
    <w:basedOn w:val="DefaultParagraphFont"/>
    <w:uiPriority w:val="19"/>
    <w:qFormat/>
    <w:rsid w:val="004E524C"/>
    <w:rPr>
      <w:i/>
      <w:iCs/>
      <w:color w:val="626262" w:themeColor="text1" w:themeTint="BF"/>
    </w:rPr>
  </w:style>
  <w:style w:type="character" w:customStyle="1" w:styleId="apple-converted-space">
    <w:name w:val="apple-converted-space"/>
    <w:basedOn w:val="DefaultParagraphFont"/>
    <w:rsid w:val="003B7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30832">
      <w:bodyDiv w:val="1"/>
      <w:marLeft w:val="0"/>
      <w:marRight w:val="0"/>
      <w:marTop w:val="0"/>
      <w:marBottom w:val="0"/>
      <w:divBdr>
        <w:top w:val="none" w:sz="0" w:space="0" w:color="auto"/>
        <w:left w:val="none" w:sz="0" w:space="0" w:color="auto"/>
        <w:bottom w:val="none" w:sz="0" w:space="0" w:color="auto"/>
        <w:right w:val="none" w:sz="0" w:space="0" w:color="auto"/>
      </w:divBdr>
    </w:div>
    <w:div w:id="4231866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1299</Words>
  <Characters>7122</Characters>
  <Application>Microsoft Office Word</Application>
  <DocSecurity>0</DocSecurity>
  <Lines>177</Lines>
  <Paragraphs>45</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Franklin, Sherry</cp:lastModifiedBy>
  <cp:revision>3</cp:revision>
  <dcterms:created xsi:type="dcterms:W3CDTF">2026-02-16T21:18:00Z</dcterms:created>
  <dcterms:modified xsi:type="dcterms:W3CDTF">2026-02-16T21:18:00Z</dcterms:modified>
</cp:coreProperties>
</file>