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389B" w14:textId="1E2CC62A" w:rsidR="00A841D3" w:rsidRPr="003B54ED" w:rsidRDefault="00C60611" w:rsidP="00A841D3">
      <w:pPr>
        <w:suppressAutoHyphens/>
        <w:spacing w:before="180"/>
        <w:rPr>
          <w:rStyle w:val="body"/>
          <w:rFonts w:ascii="Calibri" w:hAnsi="Calibri"/>
          <w:lang w:val="es-US"/>
        </w:rPr>
      </w:pPr>
      <w:r>
        <w:rPr>
          <w:rStyle w:val="Heading1Char"/>
          <w:lang w:val="es"/>
        </w:rPr>
        <w:t>Resumen de la Declaración de Derechos</w:t>
      </w:r>
    </w:p>
    <w:p w14:paraId="12E0599E" w14:textId="2D858390" w:rsidR="001F7A75" w:rsidRPr="003B54ED" w:rsidRDefault="001F7A75" w:rsidP="004839CE">
      <w:pPr>
        <w:pStyle w:val="Heading2"/>
        <w:spacing w:after="240"/>
        <w:rPr>
          <w:lang w:val="es-US"/>
        </w:rPr>
      </w:pPr>
      <w:r>
        <w:rPr>
          <w:lang w:val="es"/>
        </w:rPr>
        <w:t xml:space="preserve">Enmiendas 1-10 (Declaración de Derechos)  </w:t>
      </w:r>
    </w:p>
    <w:p w14:paraId="6BF7815D" w14:textId="77777777" w:rsidR="004839CE" w:rsidRPr="003B54ED" w:rsidRDefault="004839CE" w:rsidP="004839CE">
      <w:pPr>
        <w:spacing w:after="240" w:line="276" w:lineRule="auto"/>
        <w:rPr>
          <w:rStyle w:val="IntenseEmphasis"/>
          <w:sz w:val="24"/>
          <w:lang w:val="es-US"/>
        </w:rPr>
      </w:pPr>
      <w:r>
        <w:rPr>
          <w:rStyle w:val="IntenseEmphasis"/>
          <w:sz w:val="24"/>
          <w:lang w:val="es"/>
        </w:rPr>
        <w:t>Enmienda I</w:t>
      </w:r>
    </w:p>
    <w:p w14:paraId="112AC533" w14:textId="77777777" w:rsidR="004839CE" w:rsidRPr="003B54ED" w:rsidRDefault="004839CE" w:rsidP="004839CE">
      <w:pPr>
        <w:spacing w:after="240" w:line="276" w:lineRule="auto"/>
        <w:rPr>
          <w:sz w:val="24"/>
          <w:lang w:val="es-US"/>
        </w:rPr>
      </w:pPr>
      <w:r>
        <w:rPr>
          <w:sz w:val="24"/>
          <w:lang w:val="es"/>
        </w:rPr>
        <w:t xml:space="preserve">El Congreso no hará ninguna ley con respecto al establecimiento de una religión, o que prohíba el libre ejercicio de </w:t>
      </w:r>
      <w:proofErr w:type="gramStart"/>
      <w:r>
        <w:rPr>
          <w:sz w:val="24"/>
          <w:lang w:val="es"/>
        </w:rPr>
        <w:t>la misma</w:t>
      </w:r>
      <w:proofErr w:type="gramEnd"/>
      <w:r>
        <w:rPr>
          <w:sz w:val="24"/>
          <w:lang w:val="es"/>
        </w:rPr>
        <w:t>; o que coarte la libertad de expresión o de prensa; o el derecho del pueblo a reunirse pacíficamente y a solicitar al gobierno la reparación de agravios.</w:t>
      </w:r>
    </w:p>
    <w:p w14:paraId="30DBE51C" w14:textId="77777777" w:rsidR="004839CE" w:rsidRPr="003B54ED" w:rsidRDefault="004839CE" w:rsidP="004839CE">
      <w:pPr>
        <w:spacing w:after="240" w:line="276" w:lineRule="auto"/>
        <w:rPr>
          <w:rStyle w:val="IntenseEmphasis"/>
          <w:sz w:val="24"/>
          <w:lang w:val="es-US"/>
        </w:rPr>
      </w:pPr>
      <w:r>
        <w:rPr>
          <w:rStyle w:val="IntenseEmphasis"/>
          <w:sz w:val="24"/>
          <w:lang w:val="es"/>
        </w:rPr>
        <w:t>Enmienda II</w:t>
      </w:r>
    </w:p>
    <w:p w14:paraId="7EF123C2" w14:textId="4239167E" w:rsidR="004839CE" w:rsidRPr="003B54ED" w:rsidRDefault="004839CE" w:rsidP="004839CE">
      <w:pPr>
        <w:spacing w:after="240" w:line="276" w:lineRule="auto"/>
        <w:rPr>
          <w:sz w:val="24"/>
          <w:lang w:val="es-US"/>
        </w:rPr>
      </w:pPr>
      <w:r>
        <w:rPr>
          <w:sz w:val="24"/>
          <w:lang w:val="es"/>
        </w:rPr>
        <w:t>Siendo necesaria una milicia bien regulada para la seguridad de un estado libre, el derecho del pueblo a tener y portar armas no debe ser infringido.</w:t>
      </w:r>
    </w:p>
    <w:p w14:paraId="03F5B959" w14:textId="77777777" w:rsidR="004839CE" w:rsidRPr="003B54ED" w:rsidRDefault="004839CE" w:rsidP="004839CE">
      <w:pPr>
        <w:spacing w:after="240" w:line="276" w:lineRule="auto"/>
        <w:rPr>
          <w:rStyle w:val="IntenseEmphasis"/>
          <w:sz w:val="24"/>
          <w:lang w:val="es-US"/>
        </w:rPr>
      </w:pPr>
      <w:r>
        <w:rPr>
          <w:rStyle w:val="IntenseEmphasis"/>
          <w:sz w:val="24"/>
          <w:lang w:val="es"/>
        </w:rPr>
        <w:t>Enmienda III</w:t>
      </w:r>
    </w:p>
    <w:p w14:paraId="04D44628" w14:textId="77777777" w:rsidR="004839CE" w:rsidRPr="003B54ED" w:rsidRDefault="004839CE" w:rsidP="004839CE">
      <w:pPr>
        <w:spacing w:after="240" w:line="276" w:lineRule="auto"/>
        <w:rPr>
          <w:sz w:val="24"/>
          <w:lang w:val="es-US"/>
        </w:rPr>
      </w:pPr>
      <w:r>
        <w:rPr>
          <w:sz w:val="24"/>
          <w:lang w:val="es"/>
        </w:rPr>
        <w:t>Ningún soldado podrá, en tiempo de paz, ser acuartelado en una casa, sin el consentimiento del propietario, ni en tiempo de guerra, sino en la forma que prescriba la ley.</w:t>
      </w:r>
    </w:p>
    <w:p w14:paraId="5E941032" w14:textId="77777777" w:rsidR="004839CE" w:rsidRPr="003B54ED" w:rsidRDefault="004839CE" w:rsidP="004839CE">
      <w:pPr>
        <w:spacing w:after="240" w:line="276" w:lineRule="auto"/>
        <w:rPr>
          <w:rStyle w:val="IntenseEmphasis"/>
          <w:sz w:val="24"/>
          <w:lang w:val="es-US"/>
        </w:rPr>
      </w:pPr>
      <w:r>
        <w:rPr>
          <w:rStyle w:val="IntenseEmphasis"/>
          <w:sz w:val="24"/>
          <w:lang w:val="es"/>
        </w:rPr>
        <w:t>Enmienda IV</w:t>
      </w:r>
    </w:p>
    <w:p w14:paraId="713E39AF" w14:textId="77777777" w:rsidR="004839CE" w:rsidRPr="003B54ED" w:rsidRDefault="004839CE" w:rsidP="004839CE">
      <w:pPr>
        <w:spacing w:after="240" w:line="276" w:lineRule="auto"/>
        <w:rPr>
          <w:sz w:val="24"/>
          <w:lang w:val="es-US"/>
        </w:rPr>
      </w:pPr>
      <w:r>
        <w:rPr>
          <w:sz w:val="24"/>
          <w:lang w:val="es"/>
        </w:rPr>
        <w:t>No se violará el derecho de las personas a estar seguras en sus vidas, casas, documentos y efectos, ante registros e incautaciones irrazonables, y no se emitirá ninguna orden judicial, sino bajo causa probable, apoyada por juramento o afirmación, y describiendo particularmente el lugar a ser registrado, y las personas o cosas a ser incautadas.</w:t>
      </w:r>
    </w:p>
    <w:p w14:paraId="7B37E183" w14:textId="77777777" w:rsidR="004839CE" w:rsidRPr="003B54ED" w:rsidRDefault="004839CE" w:rsidP="004839CE">
      <w:pPr>
        <w:spacing w:after="240" w:line="276" w:lineRule="auto"/>
        <w:rPr>
          <w:rStyle w:val="IntenseEmphasis"/>
          <w:sz w:val="24"/>
          <w:lang w:val="es-US"/>
        </w:rPr>
      </w:pPr>
      <w:r>
        <w:rPr>
          <w:rStyle w:val="IntenseEmphasis"/>
          <w:sz w:val="24"/>
          <w:lang w:val="es"/>
        </w:rPr>
        <w:t>Enmienda V</w:t>
      </w:r>
    </w:p>
    <w:p w14:paraId="29D35102" w14:textId="633CD480" w:rsidR="004839CE" w:rsidRDefault="004839CE" w:rsidP="004839CE">
      <w:pPr>
        <w:spacing w:after="240" w:line="276" w:lineRule="auto"/>
        <w:rPr>
          <w:sz w:val="24"/>
          <w:lang w:val="es"/>
        </w:rPr>
      </w:pPr>
      <w:r>
        <w:rPr>
          <w:sz w:val="24"/>
          <w:lang w:val="es"/>
        </w:rPr>
        <w:t>Ninguna persona podrá ser detenida para responder por un delito capital o infame, a menos que sea acusada por un gran jurado, excepto en los casos que se presenten en las fuerzas terrestres o navales, o en la milicia, cuando esté en servicio real en tiempo de guerra o peligro público; ni ninguna persona será sometida por el mismo delito a ser puesta dos veces en peligro de la vida o la integridad física; ni será obligada en ningún caso penal a ser testigo contra sí misma, ni será privada de la vida, la libertad o la propiedad, sin el debido proceso legal; ni se tomará la propiedad privada para uso público, sin una compensación justa.</w:t>
      </w:r>
    </w:p>
    <w:p w14:paraId="2FB11196" w14:textId="77777777" w:rsidR="003B54ED" w:rsidRPr="003B54ED" w:rsidRDefault="003B54ED" w:rsidP="004839CE">
      <w:pPr>
        <w:spacing w:after="240" w:line="276" w:lineRule="auto"/>
        <w:rPr>
          <w:sz w:val="24"/>
          <w:lang w:val="es-US"/>
        </w:rPr>
      </w:pPr>
    </w:p>
    <w:p w14:paraId="2AD77B4A" w14:textId="77777777" w:rsidR="004839CE" w:rsidRPr="003B54ED" w:rsidRDefault="004839CE" w:rsidP="004839CE">
      <w:pPr>
        <w:spacing w:after="240" w:line="276" w:lineRule="auto"/>
        <w:rPr>
          <w:rStyle w:val="IntenseEmphasis"/>
          <w:sz w:val="24"/>
          <w:lang w:val="es-US"/>
        </w:rPr>
      </w:pPr>
      <w:r>
        <w:rPr>
          <w:rStyle w:val="IntenseEmphasis"/>
          <w:sz w:val="24"/>
          <w:lang w:val="es"/>
        </w:rPr>
        <w:lastRenderedPageBreak/>
        <w:t>Enmienda VI</w:t>
      </w:r>
    </w:p>
    <w:p w14:paraId="27A19D40" w14:textId="77777777" w:rsidR="004839CE" w:rsidRPr="003B54ED" w:rsidRDefault="004839CE" w:rsidP="004839CE">
      <w:pPr>
        <w:spacing w:after="240" w:line="276" w:lineRule="auto"/>
        <w:rPr>
          <w:sz w:val="24"/>
          <w:lang w:val="es-US"/>
        </w:rPr>
      </w:pPr>
      <w:r>
        <w:rPr>
          <w:sz w:val="24"/>
          <w:lang w:val="es"/>
        </w:rPr>
        <w:t>En todos los procesos penales, el acusado gozará del derecho a un juicio rápido y público, por parte de un jurado imparcial del estado y del distrito en el que se haya cometido el delito, distrito que habrá sido previamente determinado por la ley, y a ser informado de la naturaleza y la causa de la acusación; a ser confrontado con los testigos de cargo; a tener un proceso obligatorio para obtener testigos a su favor, y a contar con la asistencia de un abogado para su defensa.</w:t>
      </w:r>
    </w:p>
    <w:p w14:paraId="7E1A7225" w14:textId="77777777" w:rsidR="004839CE" w:rsidRPr="003B54ED" w:rsidRDefault="004839CE" w:rsidP="004839CE">
      <w:pPr>
        <w:spacing w:after="240" w:line="276" w:lineRule="auto"/>
        <w:rPr>
          <w:rStyle w:val="IntenseEmphasis"/>
          <w:sz w:val="24"/>
          <w:lang w:val="es-US"/>
        </w:rPr>
      </w:pPr>
      <w:r>
        <w:rPr>
          <w:rStyle w:val="IntenseEmphasis"/>
          <w:sz w:val="24"/>
          <w:lang w:val="es"/>
        </w:rPr>
        <w:t>Enmienda VII</w:t>
      </w:r>
    </w:p>
    <w:p w14:paraId="5799E3BC" w14:textId="77777777" w:rsidR="004839CE" w:rsidRPr="003B54ED" w:rsidRDefault="004839CE" w:rsidP="004839CE">
      <w:pPr>
        <w:spacing w:after="240" w:line="276" w:lineRule="auto"/>
        <w:rPr>
          <w:sz w:val="24"/>
          <w:lang w:val="es-US"/>
        </w:rPr>
      </w:pPr>
      <w:r>
        <w:rPr>
          <w:sz w:val="24"/>
          <w:lang w:val="es"/>
        </w:rPr>
        <w:t>En los juicios de derecho consuetudinario en los que el valor de la controversia supere los veinte dólares, se mantendrá el derecho a ser juzgado por un jurado, y ningún hecho juzgado por un jurado podrá ser reexaminado en ningún tribunal de los Estados Unidos de otra manera que no sea de acuerdo con las reglas del derecho consuetudinario.</w:t>
      </w:r>
    </w:p>
    <w:p w14:paraId="45C28B86" w14:textId="77777777" w:rsidR="004839CE" w:rsidRPr="003B54ED" w:rsidRDefault="004839CE" w:rsidP="004839CE">
      <w:pPr>
        <w:spacing w:after="240" w:line="276" w:lineRule="auto"/>
        <w:rPr>
          <w:rStyle w:val="IntenseEmphasis"/>
          <w:sz w:val="24"/>
          <w:lang w:val="es-US"/>
        </w:rPr>
      </w:pPr>
      <w:r>
        <w:rPr>
          <w:rStyle w:val="IntenseEmphasis"/>
          <w:sz w:val="24"/>
          <w:lang w:val="es"/>
        </w:rPr>
        <w:t>Enmienda VIII</w:t>
      </w:r>
    </w:p>
    <w:p w14:paraId="536F608E" w14:textId="77777777" w:rsidR="004839CE" w:rsidRPr="003B54ED" w:rsidRDefault="004839CE" w:rsidP="004839CE">
      <w:pPr>
        <w:spacing w:after="240" w:line="276" w:lineRule="auto"/>
        <w:rPr>
          <w:sz w:val="24"/>
          <w:lang w:val="es-US"/>
        </w:rPr>
      </w:pPr>
      <w:r>
        <w:rPr>
          <w:sz w:val="24"/>
          <w:lang w:val="es"/>
        </w:rPr>
        <w:t>No se exigirán fianzas excesivas, ni se impondrán multas excesivas, ni se infligirán castigos crueles e inusuales.</w:t>
      </w:r>
    </w:p>
    <w:p w14:paraId="72D80F5C" w14:textId="77777777" w:rsidR="004839CE" w:rsidRPr="003B54ED" w:rsidRDefault="004839CE" w:rsidP="004839CE">
      <w:pPr>
        <w:spacing w:after="240" w:line="276" w:lineRule="auto"/>
        <w:rPr>
          <w:rStyle w:val="IntenseEmphasis"/>
          <w:sz w:val="24"/>
          <w:lang w:val="es-US"/>
        </w:rPr>
      </w:pPr>
      <w:r>
        <w:rPr>
          <w:rStyle w:val="IntenseEmphasis"/>
          <w:sz w:val="24"/>
          <w:lang w:val="es"/>
        </w:rPr>
        <w:t>Enmienda IX</w:t>
      </w:r>
    </w:p>
    <w:p w14:paraId="65D22C37" w14:textId="77777777" w:rsidR="004839CE" w:rsidRPr="003B54ED" w:rsidRDefault="004839CE" w:rsidP="004839CE">
      <w:pPr>
        <w:spacing w:after="240" w:line="276" w:lineRule="auto"/>
        <w:rPr>
          <w:sz w:val="24"/>
          <w:lang w:val="es-US"/>
        </w:rPr>
      </w:pPr>
      <w:r>
        <w:rPr>
          <w:sz w:val="24"/>
          <w:lang w:val="es"/>
        </w:rPr>
        <w:t>La enumeración en la Constitución de ciertos derechos no debe interpretarse como la negación o el menosprecio de otros retenidos por el pueblo.</w:t>
      </w:r>
    </w:p>
    <w:p w14:paraId="4AF7141E" w14:textId="77777777" w:rsidR="004839CE" w:rsidRPr="003B54ED" w:rsidRDefault="004839CE" w:rsidP="004839CE">
      <w:pPr>
        <w:spacing w:after="240" w:line="276" w:lineRule="auto"/>
        <w:rPr>
          <w:rStyle w:val="IntenseEmphasis"/>
          <w:sz w:val="24"/>
          <w:lang w:val="es-US"/>
        </w:rPr>
      </w:pPr>
      <w:r>
        <w:rPr>
          <w:rStyle w:val="IntenseEmphasis"/>
          <w:sz w:val="24"/>
          <w:lang w:val="es"/>
        </w:rPr>
        <w:t>Enmienda X</w:t>
      </w:r>
    </w:p>
    <w:p w14:paraId="6EA99199" w14:textId="2320C96D" w:rsidR="001F7A75" w:rsidRPr="003B54ED" w:rsidRDefault="004839CE" w:rsidP="004839CE">
      <w:pPr>
        <w:spacing w:after="240" w:line="276" w:lineRule="auto"/>
        <w:rPr>
          <w:sz w:val="24"/>
          <w:lang w:val="es-US"/>
        </w:rPr>
      </w:pPr>
      <w:r>
        <w:rPr>
          <w:sz w:val="24"/>
          <w:lang w:val="es"/>
        </w:rPr>
        <w:t>Los poderes no delegados a los Estados Unidos por la Constitución, ni prohibidos por ella a los estados, están reservados a los estados respectivamente, o al pueblo.</w:t>
      </w:r>
    </w:p>
    <w:p w14:paraId="3BDC126B" w14:textId="77777777" w:rsidR="004839CE" w:rsidRPr="003B54ED" w:rsidRDefault="004839CE" w:rsidP="005C05CD">
      <w:pPr>
        <w:suppressAutoHyphens/>
        <w:spacing w:before="180"/>
        <w:ind w:left="360"/>
        <w:rPr>
          <w:rFonts w:cs="OpenSans"/>
          <w:color w:val="323134"/>
          <w:szCs w:val="18"/>
          <w:lang w:val="es-US"/>
        </w:rPr>
      </w:pPr>
    </w:p>
    <w:p w14:paraId="5F7F2011" w14:textId="1A147FDB" w:rsidR="00F420AE" w:rsidRPr="003B54ED" w:rsidRDefault="004839CE" w:rsidP="00F420AE">
      <w:pPr>
        <w:pStyle w:val="Subtitle"/>
        <w:spacing w:after="120"/>
        <w:rPr>
          <w:lang w:val="es-US"/>
        </w:rPr>
      </w:pPr>
      <w:r>
        <w:rPr>
          <w:lang w:val="es"/>
        </w:rPr>
        <w:t>Primer Congreso de los Estados Unidos. (1789). La declaración de derechos. Extraído de http://www.archives.gov/exhibits/charters/bill_of_rights_transcript.html</w:t>
      </w:r>
    </w:p>
    <w:sectPr w:rsidR="00F420AE" w:rsidRPr="003B54ED" w:rsidSect="00B441C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7B89" w14:textId="77777777" w:rsidR="009824E3" w:rsidRDefault="009824E3" w:rsidP="000858BD">
      <w:r>
        <w:separator/>
      </w:r>
    </w:p>
  </w:endnote>
  <w:endnote w:type="continuationSeparator" w:id="0">
    <w:p w14:paraId="46D43842" w14:textId="77777777" w:rsidR="009824E3" w:rsidRDefault="009824E3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1087A53E" w:rsidR="005B2A6C" w:rsidRDefault="00721180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POWER TO THE PEOPLE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1087A53E" w:rsidR="005B2A6C" w:rsidRDefault="00721180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POWER TO THE PEOPLE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57F2A" w14:textId="77777777" w:rsidR="009824E3" w:rsidRDefault="009824E3" w:rsidP="000858BD">
      <w:r>
        <w:separator/>
      </w:r>
    </w:p>
  </w:footnote>
  <w:footnote w:type="continuationSeparator" w:id="0">
    <w:p w14:paraId="47875A7E" w14:textId="77777777" w:rsidR="009824E3" w:rsidRDefault="009824E3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7FEA"/>
    <w:multiLevelType w:val="multilevel"/>
    <w:tmpl w:val="064A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41E78"/>
    <w:multiLevelType w:val="multilevel"/>
    <w:tmpl w:val="13D6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14B4F"/>
    <w:multiLevelType w:val="multilevel"/>
    <w:tmpl w:val="BB66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76DA4"/>
    <w:multiLevelType w:val="multilevel"/>
    <w:tmpl w:val="37BE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B25E0"/>
    <w:multiLevelType w:val="multilevel"/>
    <w:tmpl w:val="90C8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A2CE9"/>
    <w:multiLevelType w:val="multilevel"/>
    <w:tmpl w:val="262A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6C7598"/>
    <w:multiLevelType w:val="multilevel"/>
    <w:tmpl w:val="0DEC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843C0"/>
    <w:multiLevelType w:val="multilevel"/>
    <w:tmpl w:val="BBCE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9A2172"/>
    <w:multiLevelType w:val="multilevel"/>
    <w:tmpl w:val="8D6A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F66C4"/>
    <w:multiLevelType w:val="multilevel"/>
    <w:tmpl w:val="628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E02BD8"/>
    <w:multiLevelType w:val="hybridMultilevel"/>
    <w:tmpl w:val="66A410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1B451A"/>
    <w:multiLevelType w:val="hybridMultilevel"/>
    <w:tmpl w:val="967485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460738">
    <w:abstractNumId w:val="3"/>
  </w:num>
  <w:num w:numId="2" w16cid:durableId="1033463121">
    <w:abstractNumId w:val="1"/>
  </w:num>
  <w:num w:numId="3" w16cid:durableId="1329793341">
    <w:abstractNumId w:val="8"/>
  </w:num>
  <w:num w:numId="4" w16cid:durableId="607006017">
    <w:abstractNumId w:val="2"/>
  </w:num>
  <w:num w:numId="5" w16cid:durableId="1265306254">
    <w:abstractNumId w:val="9"/>
  </w:num>
  <w:num w:numId="6" w16cid:durableId="555046339">
    <w:abstractNumId w:val="0"/>
  </w:num>
  <w:num w:numId="7" w16cid:durableId="2108185092">
    <w:abstractNumId w:val="5"/>
  </w:num>
  <w:num w:numId="8" w16cid:durableId="1005401320">
    <w:abstractNumId w:val="4"/>
  </w:num>
  <w:num w:numId="9" w16cid:durableId="747194012">
    <w:abstractNumId w:val="6"/>
  </w:num>
  <w:num w:numId="10" w16cid:durableId="367225996">
    <w:abstractNumId w:val="7"/>
  </w:num>
  <w:num w:numId="11" w16cid:durableId="1246767761">
    <w:abstractNumId w:val="11"/>
  </w:num>
  <w:num w:numId="12" w16cid:durableId="3927773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1147F5"/>
    <w:rsid w:val="0011581D"/>
    <w:rsid w:val="00195FCB"/>
    <w:rsid w:val="001F7A75"/>
    <w:rsid w:val="00267F28"/>
    <w:rsid w:val="00321173"/>
    <w:rsid w:val="003B54ED"/>
    <w:rsid w:val="004839CE"/>
    <w:rsid w:val="005B2A6C"/>
    <w:rsid w:val="005C05CD"/>
    <w:rsid w:val="00721180"/>
    <w:rsid w:val="009824E3"/>
    <w:rsid w:val="00A57937"/>
    <w:rsid w:val="00A841D3"/>
    <w:rsid w:val="00AB38AC"/>
    <w:rsid w:val="00AC2386"/>
    <w:rsid w:val="00AF0ABD"/>
    <w:rsid w:val="00AF61B5"/>
    <w:rsid w:val="00B441CE"/>
    <w:rsid w:val="00B71E42"/>
    <w:rsid w:val="00BA067A"/>
    <w:rsid w:val="00C60611"/>
    <w:rsid w:val="00D77E23"/>
    <w:rsid w:val="00F4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41F067AC-F45B-42AF-B383-D280E2DE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9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1F7A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A75"/>
    <w:rPr>
      <w:rFonts w:ascii="Calibri" w:hAnsi="Calibri"/>
      <w:color w:val="2E2E2E" w:themeColor="text1"/>
      <w:sz w:val="18"/>
    </w:rPr>
  </w:style>
  <w:style w:type="paragraph" w:styleId="NoSpacing">
    <w:name w:val="No Spacing"/>
    <w:uiPriority w:val="1"/>
    <w:qFormat/>
    <w:rsid w:val="001F7A75"/>
    <w:rPr>
      <w:rFonts w:ascii="Calibri" w:hAnsi="Calibri"/>
      <w:color w:val="2E2E2E" w:themeColor="text1"/>
      <w:sz w:val="18"/>
    </w:rPr>
  </w:style>
  <w:style w:type="paragraph" w:styleId="ListParagraph">
    <w:name w:val="List Paragraph"/>
    <w:basedOn w:val="Normal"/>
    <w:uiPriority w:val="34"/>
    <w:qFormat/>
    <w:rsid w:val="001F7A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5CD"/>
    <w:rPr>
      <w:color w:val="289CC7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39CE"/>
    <w:rPr>
      <w:color w:val="6D8F9B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9CE"/>
    <w:rPr>
      <w:rFonts w:asciiTheme="majorHAnsi" w:eastAsiaTheme="majorEastAsia" w:hAnsiTheme="majorHAnsi" w:cstheme="majorBidi"/>
      <w:color w:val="48061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4839C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4839CE"/>
    <w:rPr>
      <w:i/>
      <w:iCs/>
      <w:color w:val="910D28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9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Anna G. Patrick</cp:lastModifiedBy>
  <cp:revision>4</cp:revision>
  <cp:lastPrinted>2016-06-17T16:24:00Z</cp:lastPrinted>
  <dcterms:created xsi:type="dcterms:W3CDTF">2016-06-17T19:03:00Z</dcterms:created>
  <dcterms:modified xsi:type="dcterms:W3CDTF">2022-06-07T14:51:00Z</dcterms:modified>
</cp:coreProperties>
</file>