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2ABE46C" w14:textId="77777777" w:rsidR="000C3677" w:rsidRDefault="000C3677" w:rsidP="009D6E8D">
      <w:pPr>
        <w:rPr>
          <w:rFonts w:asciiTheme="majorHAnsi" w:eastAsiaTheme="majorEastAsia" w:hAnsiTheme="majorHAnsi" w:cstheme="majorBidi"/>
          <w:b/>
          <w:caps/>
          <w:kern w:val="28"/>
          <w:sz w:val="32"/>
          <w:szCs w:val="56"/>
        </w:rPr>
      </w:pPr>
      <w:r w:rsidRPr="000C3677">
        <w:rPr>
          <w:rFonts w:asciiTheme="majorHAnsi" w:eastAsiaTheme="majorEastAsia" w:hAnsiTheme="majorHAnsi" w:cstheme="majorBidi"/>
          <w:b/>
          <w:caps/>
          <w:kern w:val="28"/>
          <w:sz w:val="32"/>
          <w:szCs w:val="56"/>
        </w:rPr>
        <w:t xml:space="preserve">AVOIDING COLLOQUIAL LANGUAGE IN ACADEMIC WRITING </w:t>
      </w:r>
    </w:p>
    <w:p w14:paraId="41CDF311" w14:textId="77777777" w:rsidR="000C3677" w:rsidRDefault="000C3677" w:rsidP="000C3677">
      <w:pPr>
        <w:pStyle w:val="Heading4"/>
        <w:rPr>
          <w:b/>
        </w:rPr>
      </w:pPr>
      <w:r>
        <w:t xml:space="preserve">Consider this question: How do colloquialisms make our language confusing or clearer?  </w:t>
      </w:r>
    </w:p>
    <w:p w14:paraId="14F2B004" w14:textId="77777777" w:rsidR="000C3677" w:rsidRDefault="000C3677" w:rsidP="000C3677">
      <w:pPr>
        <w:pBdr>
          <w:top w:val="nil"/>
          <w:left w:val="nil"/>
          <w:bottom w:val="nil"/>
          <w:right w:val="nil"/>
          <w:between w:val="nil"/>
        </w:pBdr>
        <w:rPr>
          <w:color w:val="222222"/>
        </w:rPr>
      </w:pPr>
      <w:r>
        <w:rPr>
          <w:color w:val="222222"/>
        </w:rPr>
        <w:t>Academic writing demands a formal tone characterized by careful language choices to convey ideas to readers as precisely and unambiguously as possible. Colloquial language, defined as language that is “normally restricted to informal (especially spoken) English” (Burchfield, 2004), does not satisfy this need for exactness of expression.</w:t>
      </w:r>
    </w:p>
    <w:p w14:paraId="3D573EF4" w14:textId="77777777" w:rsidR="000C3677" w:rsidRDefault="000C3677" w:rsidP="000C3677">
      <w:pPr>
        <w:pBdr>
          <w:top w:val="nil"/>
          <w:left w:val="nil"/>
          <w:bottom w:val="nil"/>
          <w:right w:val="nil"/>
          <w:between w:val="nil"/>
        </w:pBdr>
        <w:rPr>
          <w:color w:val="222222"/>
        </w:rPr>
      </w:pPr>
      <w:r>
        <w:rPr>
          <w:color w:val="222222"/>
        </w:rPr>
        <w:t>Instead, as Pam Peters (2007) says of colloquialisms, they “undermine the serious effect you want to have on the reader. [Your writing] should not appear casual, imprecise or gloss over details.” Therefore, to create the best impression when writing academically, it is recommended to find formal equivalents for any colloquialisms you may otherwise be tempted to use.</w:t>
      </w:r>
    </w:p>
    <w:p w14:paraId="244E44CA" w14:textId="77777777" w:rsidR="000C3677" w:rsidRDefault="000C3677" w:rsidP="000C3677">
      <w:pPr>
        <w:pStyle w:val="Heading1"/>
        <w:rPr>
          <w:color w:val="910D28"/>
          <w:highlight w:val="white"/>
        </w:rPr>
      </w:pPr>
      <w:bookmarkStart w:id="0" w:name="_heading=h.ll0lk8plw3qi" w:colFirst="0" w:colLast="0"/>
      <w:bookmarkEnd w:id="0"/>
      <w:r>
        <w:rPr>
          <w:color w:val="910D28"/>
          <w:highlight w:val="white"/>
        </w:rPr>
        <w:t>What to Avoid</w:t>
      </w:r>
    </w:p>
    <w:p w14:paraId="69B1D1B9" w14:textId="77777777" w:rsidR="000C3677" w:rsidRDefault="000C3677" w:rsidP="000C3677">
      <w:pPr>
        <w:pBdr>
          <w:top w:val="nil"/>
          <w:left w:val="nil"/>
          <w:bottom w:val="nil"/>
          <w:right w:val="nil"/>
          <w:between w:val="nil"/>
        </w:pBdr>
        <w:rPr>
          <w:color w:val="222222"/>
        </w:rPr>
      </w:pPr>
      <w:r>
        <w:rPr>
          <w:color w:val="222222"/>
        </w:rPr>
        <w:t>Some types of colloquial language are obviously inappropriate for use in academic writing, such as slang (e.g. “till” instead of “until”) or vulgar expressions. However, less obviously, you should also avoid the following.</w:t>
      </w:r>
    </w:p>
    <w:p w14:paraId="326B33D1" w14:textId="77777777" w:rsidR="000C3677" w:rsidRDefault="000C3677" w:rsidP="000C3677">
      <w:pPr>
        <w:pStyle w:val="Heading2"/>
        <w:rPr>
          <w:i w:val="0"/>
          <w:color w:val="910D28"/>
        </w:rPr>
      </w:pPr>
      <w:bookmarkStart w:id="1" w:name="_heading=h.bxioodvhaq6e" w:colFirst="0" w:colLast="0"/>
      <w:bookmarkEnd w:id="1"/>
      <w:r>
        <w:rPr>
          <w:color w:val="910D28"/>
        </w:rPr>
        <w:t>Clichés</w:t>
      </w:r>
    </w:p>
    <w:p w14:paraId="55AF9FA8" w14:textId="77777777" w:rsidR="000C3677" w:rsidRDefault="000C3677" w:rsidP="000C3677">
      <w:pPr>
        <w:pBdr>
          <w:top w:val="nil"/>
          <w:left w:val="nil"/>
          <w:bottom w:val="nil"/>
          <w:right w:val="nil"/>
          <w:between w:val="nil"/>
        </w:pBdr>
        <w:rPr>
          <w:color w:val="222222"/>
        </w:rPr>
      </w:pPr>
      <w:r>
        <w:rPr>
          <w:color w:val="222222"/>
        </w:rPr>
        <w:t>These expressions are commonly used in speech, but for formal writing, they lack both the specificity of meaning required to lend accuracy to your writing, and the originality to make your writing more interesting.</w:t>
      </w:r>
    </w:p>
    <w:p w14:paraId="4D8CDBDA" w14:textId="77777777" w:rsidR="000C3677" w:rsidRDefault="000C3677" w:rsidP="000C3677">
      <w:pPr>
        <w:pStyle w:val="Heading3"/>
        <w:rPr>
          <w:color w:val="3E5C61"/>
        </w:rPr>
      </w:pPr>
      <w:bookmarkStart w:id="2" w:name="_heading=h.tj26kivipx81" w:colFirst="0" w:colLast="0"/>
      <w:bookmarkEnd w:id="2"/>
      <w:r>
        <w:rPr>
          <w:color w:val="3E5C61"/>
        </w:rPr>
        <w:t>Examples</w:t>
      </w:r>
    </w:p>
    <w:p w14:paraId="2FDB22A6" w14:textId="77777777" w:rsidR="000C3677" w:rsidRDefault="000C3677" w:rsidP="000C3677">
      <w:pPr>
        <w:rPr>
          <w:color w:val="222222"/>
        </w:rPr>
      </w:pPr>
      <w:r>
        <w:rPr>
          <w:color w:val="222222"/>
        </w:rPr>
        <w:t xml:space="preserve">Time will tell </w:t>
      </w:r>
    </w:p>
    <w:p w14:paraId="04CCF5BA" w14:textId="77777777" w:rsidR="000C3677" w:rsidRDefault="000C3677" w:rsidP="000C3677">
      <w:r>
        <w:rPr>
          <w:color w:val="222222"/>
        </w:rPr>
        <w:t>As luck would have it</w:t>
      </w:r>
    </w:p>
    <w:p w14:paraId="5FA7BF50" w14:textId="77777777" w:rsidR="000C3677" w:rsidRDefault="000C3677" w:rsidP="000C3677">
      <w:pPr>
        <w:pStyle w:val="Heading2"/>
        <w:rPr>
          <w:i w:val="0"/>
          <w:color w:val="910D28"/>
        </w:rPr>
      </w:pPr>
      <w:bookmarkStart w:id="3" w:name="_heading=h.umi8fyic3oqj" w:colFirst="0" w:colLast="0"/>
      <w:bookmarkEnd w:id="3"/>
      <w:r>
        <w:rPr>
          <w:color w:val="910D28"/>
        </w:rPr>
        <w:t>Idioms</w:t>
      </w:r>
    </w:p>
    <w:p w14:paraId="41635600" w14:textId="77777777" w:rsidR="000C3677" w:rsidRDefault="000C3677" w:rsidP="000C3677">
      <w:pPr>
        <w:pBdr>
          <w:top w:val="nil"/>
          <w:left w:val="nil"/>
          <w:bottom w:val="nil"/>
          <w:right w:val="nil"/>
          <w:between w:val="nil"/>
        </w:pBdr>
        <w:rPr>
          <w:color w:val="222222"/>
        </w:rPr>
      </w:pPr>
      <w:r>
        <w:rPr>
          <w:color w:val="222222"/>
        </w:rPr>
        <w:t>These expressions are extremely common in speech, but they pose important problems in academic writing. First, as with clichés, these expressions lack specificity of meaning. Second, and even more problematically, because idioms cannot be understood literally, using them risks misinterpretation of your meaning by readers without the necessary language skills.</w:t>
      </w:r>
    </w:p>
    <w:p w14:paraId="1AE71418" w14:textId="77777777" w:rsidR="000C3677" w:rsidRDefault="000C3677" w:rsidP="000C3677">
      <w:pPr>
        <w:pStyle w:val="Heading3"/>
        <w:rPr>
          <w:color w:val="3E5C61"/>
        </w:rPr>
      </w:pPr>
      <w:bookmarkStart w:id="4" w:name="_heading=h.8cl6z95jc0i" w:colFirst="0" w:colLast="0"/>
      <w:bookmarkEnd w:id="4"/>
      <w:r>
        <w:rPr>
          <w:color w:val="3E5C61"/>
        </w:rPr>
        <w:t>Example</w:t>
      </w:r>
    </w:p>
    <w:p w14:paraId="2DFAAB3F" w14:textId="77777777" w:rsidR="000C3677" w:rsidRDefault="000C3677" w:rsidP="000C3677">
      <w:pPr>
        <w:rPr>
          <w:color w:val="222222"/>
        </w:rPr>
      </w:pPr>
      <w:r>
        <w:rPr>
          <w:color w:val="222222"/>
        </w:rPr>
        <w:t>A drop in the ocean</w:t>
      </w:r>
    </w:p>
    <w:p w14:paraId="04885127" w14:textId="77777777" w:rsidR="000C3677" w:rsidRDefault="000C3677" w:rsidP="000C3677">
      <w:r>
        <w:rPr>
          <w:color w:val="222222"/>
        </w:rPr>
        <w:t>Cut to the chase</w:t>
      </w:r>
    </w:p>
    <w:p w14:paraId="548C35C6" w14:textId="77777777" w:rsidR="000C3677" w:rsidRDefault="000C3677" w:rsidP="000C3677">
      <w:pPr>
        <w:pStyle w:val="Heading2"/>
        <w:rPr>
          <w:i w:val="0"/>
          <w:color w:val="910D28"/>
        </w:rPr>
      </w:pPr>
      <w:bookmarkStart w:id="5" w:name="_heading=h.9fxy352sysy" w:colFirst="0" w:colLast="0"/>
      <w:bookmarkEnd w:id="5"/>
      <w:r>
        <w:rPr>
          <w:color w:val="910D28"/>
        </w:rPr>
        <w:lastRenderedPageBreak/>
        <w:t>Fillers</w:t>
      </w:r>
    </w:p>
    <w:p w14:paraId="21F7D9CD" w14:textId="77777777" w:rsidR="000C3677" w:rsidRDefault="000C3677" w:rsidP="000C3677">
      <w:pPr>
        <w:pBdr>
          <w:top w:val="nil"/>
          <w:left w:val="nil"/>
          <w:bottom w:val="nil"/>
          <w:right w:val="nil"/>
          <w:between w:val="nil"/>
        </w:pBdr>
        <w:rPr>
          <w:color w:val="222222"/>
        </w:rPr>
      </w:pPr>
      <w:r>
        <w:rPr>
          <w:color w:val="222222"/>
        </w:rPr>
        <w:t>It is common to use filler words to add emphasis and rhythm in speech. However, such words are unnecessary in academic writing and detract from its effectiveness.</w:t>
      </w:r>
    </w:p>
    <w:p w14:paraId="3C6B6464" w14:textId="77777777" w:rsidR="000C3677" w:rsidRDefault="000C3677" w:rsidP="000C3677">
      <w:pPr>
        <w:pStyle w:val="Heading3"/>
        <w:rPr>
          <w:color w:val="3E5C61"/>
        </w:rPr>
      </w:pPr>
      <w:bookmarkStart w:id="6" w:name="_heading=h.cmjucbx87tt" w:colFirst="0" w:colLast="0"/>
      <w:bookmarkEnd w:id="6"/>
      <w:r>
        <w:rPr>
          <w:color w:val="3E5C61"/>
        </w:rPr>
        <w:t>Example</w:t>
      </w:r>
    </w:p>
    <w:p w14:paraId="7EF71EC6" w14:textId="77777777" w:rsidR="000C3677" w:rsidRDefault="000C3677" w:rsidP="000C3677">
      <w:pPr>
        <w:rPr>
          <w:color w:val="222222"/>
        </w:rPr>
      </w:pPr>
      <w:r>
        <w:rPr>
          <w:color w:val="222222"/>
        </w:rPr>
        <w:t xml:space="preserve">Very </w:t>
      </w:r>
    </w:p>
    <w:p w14:paraId="696498F3" w14:textId="77777777" w:rsidR="000C3677" w:rsidRDefault="000C3677" w:rsidP="000C3677">
      <w:pPr>
        <w:rPr>
          <w:color w:val="222222"/>
        </w:rPr>
      </w:pPr>
      <w:r>
        <w:rPr>
          <w:color w:val="222222"/>
        </w:rPr>
        <w:t>So</w:t>
      </w:r>
    </w:p>
    <w:p w14:paraId="534C8867" w14:textId="77777777" w:rsidR="000C3677" w:rsidRDefault="000C3677" w:rsidP="000C3677">
      <w:pPr>
        <w:rPr>
          <w:color w:val="222222"/>
        </w:rPr>
      </w:pPr>
      <w:r>
        <w:rPr>
          <w:color w:val="222222"/>
        </w:rPr>
        <w:t>Even</w:t>
      </w:r>
    </w:p>
    <w:p w14:paraId="09407972" w14:textId="77777777" w:rsidR="000C3677" w:rsidRDefault="000C3677" w:rsidP="000C3677">
      <w:pPr>
        <w:pStyle w:val="Heading1"/>
        <w:rPr>
          <w:color w:val="910D28"/>
          <w:highlight w:val="white"/>
        </w:rPr>
      </w:pPr>
      <w:bookmarkStart w:id="7" w:name="_heading=h.u86n98r78nl1" w:colFirst="0" w:colLast="0"/>
      <w:bookmarkEnd w:id="7"/>
      <w:r>
        <w:rPr>
          <w:color w:val="910D28"/>
          <w:highlight w:val="white"/>
        </w:rPr>
        <w:t>Finding Formal Equivalents</w:t>
      </w:r>
    </w:p>
    <w:p w14:paraId="097FADB5" w14:textId="77777777" w:rsidR="000C3677" w:rsidRDefault="000C3677" w:rsidP="000C3677">
      <w:pPr>
        <w:pBdr>
          <w:top w:val="nil"/>
          <w:left w:val="nil"/>
          <w:bottom w:val="nil"/>
          <w:right w:val="nil"/>
          <w:between w:val="nil"/>
        </w:pBdr>
        <w:rPr>
          <w:color w:val="222222"/>
        </w:rPr>
      </w:pPr>
      <w:r>
        <w:rPr>
          <w:color w:val="222222"/>
        </w:rPr>
        <w:t>Between using Google search and consulting a good dictionary, a suitable formal equivalent to any colloquial expression will always be to hand. For example, to find a formal equivalent of “to hand,” a simple search of Google search for “define to hand” produces the definition of “within easy reach.” Likewise, using the online </w:t>
      </w:r>
      <w:r>
        <w:rPr>
          <w:i/>
          <w:color w:val="222222"/>
        </w:rPr>
        <w:t>Macquarie Dictionary,</w:t>
      </w:r>
      <w:r>
        <w:rPr>
          <w:color w:val="222222"/>
        </w:rPr>
        <w:t xml:space="preserve"> a search for “hand” returns a result with a list of idioms that use the word hand. Number 95 in the list gives the definition of “to hand” as “within reach.”</w:t>
      </w:r>
    </w:p>
    <w:p w14:paraId="3004A082" w14:textId="77777777" w:rsidR="000C3677" w:rsidRDefault="000C3677" w:rsidP="000C3677">
      <w:pPr>
        <w:pBdr>
          <w:top w:val="nil"/>
          <w:left w:val="nil"/>
          <w:bottom w:val="nil"/>
          <w:right w:val="nil"/>
          <w:between w:val="nil"/>
        </w:pBdr>
        <w:rPr>
          <w:i/>
          <w:color w:val="222222"/>
        </w:rPr>
      </w:pPr>
      <w:r>
        <w:rPr>
          <w:color w:val="222222"/>
        </w:rPr>
        <w:t xml:space="preserve">Note that a Google search for a definition will return results from several online dictionaries, some of which are better than others. Try to use only respected online dictionaries, such as </w:t>
      </w:r>
      <w:r>
        <w:rPr>
          <w:i/>
          <w:color w:val="222222"/>
        </w:rPr>
        <w:t>Merriam Webster</w:t>
      </w:r>
      <w:r>
        <w:rPr>
          <w:color w:val="222222"/>
        </w:rPr>
        <w:t xml:space="preserve">, the </w:t>
      </w:r>
      <w:r>
        <w:rPr>
          <w:i/>
          <w:color w:val="222222"/>
        </w:rPr>
        <w:t>Oxford Dictionary</w:t>
      </w:r>
      <w:r>
        <w:rPr>
          <w:color w:val="222222"/>
        </w:rPr>
        <w:t xml:space="preserve">, the </w:t>
      </w:r>
      <w:r>
        <w:rPr>
          <w:i/>
          <w:color w:val="222222"/>
        </w:rPr>
        <w:t>Oxford Learner’s Dictionary</w:t>
      </w:r>
      <w:r>
        <w:rPr>
          <w:color w:val="222222"/>
        </w:rPr>
        <w:t xml:space="preserve">, the </w:t>
      </w:r>
      <w:r>
        <w:rPr>
          <w:i/>
          <w:color w:val="222222"/>
        </w:rPr>
        <w:t>MacMillan Dictionary,</w:t>
      </w:r>
      <w:r>
        <w:rPr>
          <w:color w:val="222222"/>
        </w:rPr>
        <w:t xml:space="preserve"> the </w:t>
      </w:r>
      <w:r>
        <w:rPr>
          <w:i/>
          <w:color w:val="222222"/>
        </w:rPr>
        <w:t>Collins Dictionary,</w:t>
      </w:r>
      <w:r>
        <w:rPr>
          <w:color w:val="222222"/>
        </w:rPr>
        <w:t xml:space="preserve"> or the </w:t>
      </w:r>
      <w:r>
        <w:rPr>
          <w:i/>
          <w:color w:val="222222"/>
        </w:rPr>
        <w:t>Cambridge Dictionary.</w:t>
      </w:r>
    </w:p>
    <w:p w14:paraId="3DCF7124" w14:textId="77777777" w:rsidR="000C3677" w:rsidRDefault="000C3677" w:rsidP="000C3677">
      <w:pPr>
        <w:pStyle w:val="Heading1"/>
        <w:rPr>
          <w:color w:val="910D28"/>
          <w:highlight w:val="white"/>
        </w:rPr>
      </w:pPr>
      <w:bookmarkStart w:id="8" w:name="_heading=h.ik0sk599264i" w:colFirst="0" w:colLast="0"/>
      <w:bookmarkEnd w:id="8"/>
      <w:r>
        <w:rPr>
          <w:color w:val="910D28"/>
          <w:highlight w:val="white"/>
        </w:rPr>
        <w:t>References</w:t>
      </w:r>
    </w:p>
    <w:p w14:paraId="5A343596" w14:textId="77777777" w:rsidR="000C3677" w:rsidRDefault="000C3677" w:rsidP="000C3677">
      <w:pPr>
        <w:pBdr>
          <w:top w:val="nil"/>
          <w:left w:val="nil"/>
          <w:bottom w:val="nil"/>
          <w:right w:val="nil"/>
          <w:between w:val="nil"/>
        </w:pBdr>
        <w:rPr>
          <w:color w:val="222222"/>
        </w:rPr>
      </w:pPr>
      <w:r>
        <w:rPr>
          <w:color w:val="222222"/>
        </w:rPr>
        <w:t>Burchfield, RW, 2004, </w:t>
      </w:r>
      <w:r>
        <w:rPr>
          <w:i/>
          <w:color w:val="222222"/>
        </w:rPr>
        <w:t>Fowler’s Modern English Usage</w:t>
      </w:r>
      <w:r>
        <w:rPr>
          <w:color w:val="222222"/>
        </w:rPr>
        <w:t>, rev. 3rd ed., Oxford University Press, Oxford.</w:t>
      </w:r>
    </w:p>
    <w:p w14:paraId="1FF8AE96" w14:textId="77777777" w:rsidR="000C3677" w:rsidRDefault="000C3677" w:rsidP="000C3677">
      <w:pPr>
        <w:pBdr>
          <w:top w:val="nil"/>
          <w:left w:val="nil"/>
          <w:bottom w:val="nil"/>
          <w:right w:val="nil"/>
          <w:between w:val="nil"/>
        </w:pBdr>
        <w:rPr>
          <w:color w:val="222222"/>
        </w:rPr>
      </w:pPr>
      <w:r>
        <w:rPr>
          <w:color w:val="222222"/>
        </w:rPr>
        <w:t>Peters, P, 2007, </w:t>
      </w:r>
      <w:r>
        <w:rPr>
          <w:i/>
          <w:color w:val="222222"/>
        </w:rPr>
        <w:t>The Cambridge Guide to Australian English Usage</w:t>
      </w:r>
      <w:r>
        <w:rPr>
          <w:color w:val="222222"/>
        </w:rPr>
        <w:t>, 2nd ed., Cambridge University Press, Port Melbourne, Vic.</w:t>
      </w:r>
    </w:p>
    <w:p w14:paraId="4536EF72" w14:textId="035A2112" w:rsidR="000C3677" w:rsidRPr="008B606D" w:rsidRDefault="000C3677" w:rsidP="000C3677">
      <w:pPr>
        <w:pStyle w:val="Citation"/>
        <w:rPr>
          <w:iCs/>
          <w:szCs w:val="18"/>
        </w:rPr>
      </w:pPr>
      <w:r w:rsidRPr="008C1410">
        <w:t>Reprinted with permission</w:t>
      </w:r>
      <w:r>
        <w:t xml:space="preserve">. </w:t>
      </w:r>
      <w:r>
        <w:rPr>
          <w:szCs w:val="18"/>
        </w:rPr>
        <w:t xml:space="preserve">Source: </w:t>
      </w:r>
      <w:r w:rsidRPr="008B606D">
        <w:rPr>
          <w:iCs/>
          <w:szCs w:val="18"/>
        </w:rPr>
        <w:t xml:space="preserve">Capstone Editing. (2017, April 17). </w:t>
      </w:r>
      <w:r w:rsidRPr="008B606D">
        <w:rPr>
          <w:szCs w:val="18"/>
        </w:rPr>
        <w:t xml:space="preserve">Avoiding colloquial language in academic writing. </w:t>
      </w:r>
      <w:r w:rsidRPr="008B606D">
        <w:rPr>
          <w:iCs/>
          <w:szCs w:val="18"/>
        </w:rPr>
        <w:t>https://www.capstoneediting.com.au/blog/avoiding-colloquial-language-in-academic-writing</w:t>
      </w:r>
    </w:p>
    <w:p w14:paraId="72E2EDF7" w14:textId="74A38FBB" w:rsidR="0036040A" w:rsidRPr="0036040A" w:rsidRDefault="0036040A" w:rsidP="000C3677"/>
    <w:sectPr w:rsidR="0036040A" w:rsidRPr="0036040A">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16FE7" w14:textId="77777777" w:rsidR="006F3BE8" w:rsidRDefault="006F3BE8" w:rsidP="00293785">
      <w:pPr>
        <w:spacing w:after="0" w:line="240" w:lineRule="auto"/>
      </w:pPr>
      <w:r>
        <w:separator/>
      </w:r>
    </w:p>
  </w:endnote>
  <w:endnote w:type="continuationSeparator" w:id="0">
    <w:p w14:paraId="4502A87E" w14:textId="77777777" w:rsidR="006F3BE8" w:rsidRDefault="006F3BE8"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1A134" w14:textId="77777777" w:rsidR="00B644B5" w:rsidRDefault="00B644B5">
    <w:pPr>
      <w:pStyle w:val="Footer"/>
      <w:rPr>
        <w:b/>
        <w:caps/>
        <w:color w:val="2D2D2D"/>
      </w:rPr>
    </w:pPr>
  </w:p>
  <w:p w14:paraId="107E9AB4" w14:textId="24F87AF4" w:rsidR="00293785" w:rsidRDefault="00B644B5">
    <w:pPr>
      <w:pStyle w:val="Footer"/>
    </w:pPr>
    <w:r w:rsidRPr="00293785">
      <w:rPr>
        <w:noProof/>
      </w:rPr>
      <mc:AlternateContent>
        <mc:Choice Requires="wps">
          <w:drawing>
            <wp:anchor distT="0" distB="0" distL="114300" distR="114300" simplePos="0" relativeHeight="251667456" behindDoc="0" locked="0" layoutInCell="1" allowOverlap="1" wp14:anchorId="1C84467D" wp14:editId="634D3BB5">
              <wp:simplePos x="0" y="0"/>
              <wp:positionH relativeFrom="column">
                <wp:posOffset>1504950</wp:posOffset>
              </wp:positionH>
              <wp:positionV relativeFrom="paragraph">
                <wp:posOffset>-180975</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30CD64D" w14:textId="4DF71C9A" w:rsidR="00293785" w:rsidRDefault="00000000" w:rsidP="00D106FF">
                          <w:pPr>
                            <w:pStyle w:val="LessonFooter"/>
                          </w:pPr>
                          <w:sdt>
                            <w:sdtPr>
                              <w:alias w:val="Title"/>
                              <w:tag w:val=""/>
                              <w:id w:val="1281607793"/>
                              <w:placeholder>
                                <w:docPart w:val="78253F0F88BD4FF8A863B04E3CA8F1DC"/>
                              </w:placeholder>
                              <w:dataBinding w:prefixMappings="xmlns:ns0='http://purl.org/dc/elements/1.1/' xmlns:ns1='http://schemas.openxmlformats.org/package/2006/metadata/core-properties' " w:xpath="/ns1:coreProperties[1]/ns0:title[1]" w:storeItemID="{6C3C8BC8-F283-45AE-878A-BAB7291924A1}"/>
                              <w:text/>
                            </w:sdtPr>
                            <w:sdtContent>
                              <w:r w:rsidR="000C43E2">
                                <w:t>It's Raining Whats and Whats?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84467D" id="_x0000_t202" coordsize="21600,21600" o:spt="202" path="m,l,21600r21600,l21600,xe">
              <v:stroke joinstyle="miter"/>
              <v:path gradientshapeok="t" o:connecttype="rect"/>
            </v:shapetype>
            <v:shape id="Text Box 6" o:spid="_x0000_s1026" type="#_x0000_t202" style="position:absolute;margin-left:118.5pt;margin-top:-14.25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" filled="f" stroked="f">
              <v:textbox>
                <w:txbxContent>
                  <w:p w14:paraId="630CD64D" w14:textId="4DF71C9A" w:rsidR="00293785" w:rsidRDefault="00000000" w:rsidP="00D106FF">
                    <w:pPr>
                      <w:pStyle w:val="LessonFooter"/>
                    </w:pPr>
                    <w:sdt>
                      <w:sdtPr>
                        <w:alias w:val="Title"/>
                        <w:tag w:val=""/>
                        <w:id w:val="1281607793"/>
                        <w:placeholder>
                          <w:docPart w:val="78253F0F88BD4FF8A863B04E3CA8F1DC"/>
                        </w:placeholder>
                        <w:dataBinding w:prefixMappings="xmlns:ns0='http://purl.org/dc/elements/1.1/' xmlns:ns1='http://schemas.openxmlformats.org/package/2006/metadata/core-properties' " w:xpath="/ns1:coreProperties[1]/ns0:title[1]" w:storeItemID="{6C3C8BC8-F283-45AE-878A-BAB7291924A1}"/>
                        <w:text/>
                      </w:sdtPr>
                      <w:sdtContent>
                        <w:r w:rsidR="000C43E2">
                          <w:t>It's Raining Whats and Whats?</w:t>
                        </w:r>
                      </w:sdtContent>
                    </w:sdt>
                  </w:p>
                </w:txbxContent>
              </v:textbox>
            </v:shape>
          </w:pict>
        </mc:Fallback>
      </mc:AlternateContent>
    </w:r>
    <w:r w:rsidRPr="00293785">
      <w:rPr>
        <w:noProof/>
      </w:rPr>
      <w:drawing>
        <wp:anchor distT="0" distB="0" distL="114300" distR="114300" simplePos="0" relativeHeight="251648000" behindDoc="1" locked="0" layoutInCell="1" allowOverlap="1" wp14:anchorId="675C8C47" wp14:editId="583779EC">
          <wp:simplePos x="0" y="0"/>
          <wp:positionH relativeFrom="column">
            <wp:posOffset>1371600</wp:posOffset>
          </wp:positionH>
          <wp:positionV relativeFrom="paragraph">
            <wp:posOffset>-179388</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E6D2B" w14:textId="77777777" w:rsidR="006F3BE8" w:rsidRDefault="006F3BE8" w:rsidP="00293785">
      <w:pPr>
        <w:spacing w:after="0" w:line="240" w:lineRule="auto"/>
      </w:pPr>
      <w:r>
        <w:separator/>
      </w:r>
    </w:p>
  </w:footnote>
  <w:footnote w:type="continuationSeparator" w:id="0">
    <w:p w14:paraId="6F4C0D18" w14:textId="77777777" w:rsidR="006F3BE8" w:rsidRDefault="006F3BE8"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8900009">
    <w:abstractNumId w:val="6"/>
  </w:num>
  <w:num w:numId="2" w16cid:durableId="559905122">
    <w:abstractNumId w:val="7"/>
  </w:num>
  <w:num w:numId="3" w16cid:durableId="1456370610">
    <w:abstractNumId w:val="0"/>
  </w:num>
  <w:num w:numId="4" w16cid:durableId="1580797344">
    <w:abstractNumId w:val="2"/>
  </w:num>
  <w:num w:numId="5" w16cid:durableId="1184633728">
    <w:abstractNumId w:val="3"/>
  </w:num>
  <w:num w:numId="6" w16cid:durableId="823813039">
    <w:abstractNumId w:val="5"/>
  </w:num>
  <w:num w:numId="7" w16cid:durableId="1712456478">
    <w:abstractNumId w:val="4"/>
  </w:num>
  <w:num w:numId="8" w16cid:durableId="1974434542">
    <w:abstractNumId w:val="8"/>
  </w:num>
  <w:num w:numId="9" w16cid:durableId="453987116">
    <w:abstractNumId w:val="9"/>
  </w:num>
  <w:num w:numId="10" w16cid:durableId="13776728">
    <w:abstractNumId w:val="10"/>
  </w:num>
  <w:num w:numId="11" w16cid:durableId="443891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677"/>
    <w:rsid w:val="0004006F"/>
    <w:rsid w:val="00053775"/>
    <w:rsid w:val="0005619A"/>
    <w:rsid w:val="0008589D"/>
    <w:rsid w:val="000C3677"/>
    <w:rsid w:val="000C43E2"/>
    <w:rsid w:val="0011259B"/>
    <w:rsid w:val="00116FDD"/>
    <w:rsid w:val="00125621"/>
    <w:rsid w:val="001D0BBF"/>
    <w:rsid w:val="001E1F85"/>
    <w:rsid w:val="001F125D"/>
    <w:rsid w:val="00233C67"/>
    <w:rsid w:val="002345CC"/>
    <w:rsid w:val="00293785"/>
    <w:rsid w:val="002C0879"/>
    <w:rsid w:val="002C37B4"/>
    <w:rsid w:val="0036040A"/>
    <w:rsid w:val="00397FA9"/>
    <w:rsid w:val="00436925"/>
    <w:rsid w:val="00446C13"/>
    <w:rsid w:val="005078B4"/>
    <w:rsid w:val="0053328A"/>
    <w:rsid w:val="00540FC6"/>
    <w:rsid w:val="005511B6"/>
    <w:rsid w:val="00553C98"/>
    <w:rsid w:val="005A7635"/>
    <w:rsid w:val="00645D7F"/>
    <w:rsid w:val="00656940"/>
    <w:rsid w:val="00665274"/>
    <w:rsid w:val="00666C03"/>
    <w:rsid w:val="00676863"/>
    <w:rsid w:val="00686DAB"/>
    <w:rsid w:val="006B4CC2"/>
    <w:rsid w:val="006E1542"/>
    <w:rsid w:val="006F3BE8"/>
    <w:rsid w:val="00721EA4"/>
    <w:rsid w:val="00797CB5"/>
    <w:rsid w:val="007B055F"/>
    <w:rsid w:val="007E6F1D"/>
    <w:rsid w:val="00811538"/>
    <w:rsid w:val="00880013"/>
    <w:rsid w:val="008920A4"/>
    <w:rsid w:val="008F5386"/>
    <w:rsid w:val="00913172"/>
    <w:rsid w:val="00981E19"/>
    <w:rsid w:val="009B52E4"/>
    <w:rsid w:val="009D6E8D"/>
    <w:rsid w:val="00A101E8"/>
    <w:rsid w:val="00AC349E"/>
    <w:rsid w:val="00B644B5"/>
    <w:rsid w:val="00B92DBF"/>
    <w:rsid w:val="00BD119F"/>
    <w:rsid w:val="00C73EA1"/>
    <w:rsid w:val="00C8524A"/>
    <w:rsid w:val="00CC4F77"/>
    <w:rsid w:val="00CD3CF6"/>
    <w:rsid w:val="00CE336D"/>
    <w:rsid w:val="00D106FF"/>
    <w:rsid w:val="00D626EB"/>
    <w:rsid w:val="00DC7A6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860FB"/>
  <w15:docId w15:val="{1959E92D-4FA2-4F0A-8AD5-E8F3CE0AD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rsid w:val="000C3677"/>
    <w:pPr>
      <w:keepNext/>
      <w:keepLines/>
      <w:spacing w:before="40" w:after="24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8253F0F88BD4FF8A863B04E3CA8F1DC"/>
        <w:category>
          <w:name w:val="General"/>
          <w:gallery w:val="placeholder"/>
        </w:category>
        <w:types>
          <w:type w:val="bbPlcHdr"/>
        </w:types>
        <w:behaviors>
          <w:behavior w:val="content"/>
        </w:behaviors>
        <w:guid w:val="{DA9867B9-823C-49E2-BE30-6D21A54940AA}"/>
      </w:docPartPr>
      <w:docPartBody>
        <w:p w:rsidR="006E5BC0" w:rsidRDefault="00882E3F" w:rsidP="00882E3F">
          <w:pPr>
            <w:pStyle w:val="78253F0F88BD4FF8A863B04E3CA8F1DC"/>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E3F"/>
    <w:rsid w:val="002C3123"/>
    <w:rsid w:val="00396656"/>
    <w:rsid w:val="00436925"/>
    <w:rsid w:val="006E5BC0"/>
    <w:rsid w:val="0088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2E3F"/>
    <w:rPr>
      <w:color w:val="808080"/>
    </w:rPr>
  </w:style>
  <w:style w:type="paragraph" w:customStyle="1" w:styleId="78253F0F88BD4FF8A863B04E3CA8F1DC">
    <w:name w:val="78253F0F88BD4FF8A863B04E3CA8F1DC"/>
    <w:rsid w:val="00882E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C85D8-A7FC-4BA2-A9B9-A58B5BC6C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Template</Template>
  <TotalTime>2</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It's Raining Whats and Whats?</vt:lpstr>
    </vt:vector>
  </TitlesOfParts>
  <Manager/>
  <Company/>
  <LinksUpToDate>false</LinksUpToDate>
  <CharactersWithSpaces>3277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Raining Whats and Whats?</dc:title>
  <dc:subject/>
  <dc:creator>K20 Center</dc:creator>
  <cp:keywords/>
  <dc:description/>
  <cp:lastModifiedBy>camryn agnello</cp:lastModifiedBy>
  <cp:revision>3</cp:revision>
  <cp:lastPrinted>2016-07-14T14:08:00Z</cp:lastPrinted>
  <dcterms:created xsi:type="dcterms:W3CDTF">2023-06-20T15:56:00Z</dcterms:created>
  <dcterms:modified xsi:type="dcterms:W3CDTF">2024-10-01T18:18:00Z</dcterms:modified>
  <cp:category/>
</cp:coreProperties>
</file>