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5CDC15" w14:textId="49685F7A" w:rsidR="00446C13" w:rsidRPr="00DC7A6D" w:rsidRDefault="003B38C3" w:rsidP="00DC7A6D">
      <w:pPr>
        <w:pStyle w:val="Title"/>
      </w:pPr>
      <w:r>
        <w:t>Peer Review Form</w:t>
      </w:r>
    </w:p>
    <w:p w14:paraId="7736EED6" w14:textId="2D95EAE6" w:rsidR="00446C13" w:rsidRDefault="003B38C3" w:rsidP="00446C13">
      <w:pPr>
        <w:pStyle w:val="Heading1"/>
      </w:pPr>
      <w:r>
        <w:t xml:space="preserve">Peer Evaluator: </w:t>
      </w:r>
      <w:r w:rsidRPr="003B38C3">
        <w:rPr>
          <w:b w:val="0"/>
          <w:bCs/>
          <w:color w:val="auto"/>
        </w:rPr>
        <w:t>_______________________________________________</w:t>
      </w:r>
    </w:p>
    <w:p w14:paraId="009A9C14" w14:textId="0174BA2A" w:rsidR="003B38C3" w:rsidRPr="003B38C3" w:rsidRDefault="003B38C3" w:rsidP="003B38C3"/>
    <w:p w14:paraId="74A979A9" w14:textId="035ABD63" w:rsidR="00C73EA1" w:rsidRPr="003B38C3" w:rsidRDefault="003B38C3" w:rsidP="00D106FF">
      <w:pPr>
        <w:rPr>
          <w:rFonts w:asciiTheme="majorHAnsi" w:eastAsiaTheme="majorEastAsia" w:hAnsiTheme="majorHAnsi" w:cstheme="majorBidi"/>
          <w:b/>
          <w:color w:val="910D28" w:themeColor="accent1"/>
          <w:szCs w:val="32"/>
        </w:rPr>
      </w:pPr>
      <w:r w:rsidRPr="003B38C3">
        <w:rPr>
          <w:rStyle w:val="Heading1Char"/>
        </w:rPr>
        <w:t>Sonnet Author:</w:t>
      </w:r>
      <w:r>
        <w:t xml:space="preserve"> </w:t>
      </w:r>
      <w:r w:rsidRPr="003B38C3">
        <w:t>_______________________________________________</w:t>
      </w:r>
      <w:r w:rsidR="00CE336D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83"/>
        <w:gridCol w:w="572"/>
        <w:gridCol w:w="525"/>
        <w:gridCol w:w="3860"/>
      </w:tblGrid>
      <w:tr w:rsidR="003B38C3" w14:paraId="6C304A9D" w14:textId="58487716" w:rsidTr="003B38C3">
        <w:trPr>
          <w:cantSplit/>
          <w:tblHeader/>
        </w:trPr>
        <w:tc>
          <w:tcPr>
            <w:tcW w:w="4383" w:type="dxa"/>
            <w:shd w:val="clear" w:color="auto" w:fill="3E5C61" w:themeFill="accent2"/>
          </w:tcPr>
          <w:p w14:paraId="24AD2BD4" w14:textId="0353D3C8" w:rsidR="003B38C3" w:rsidRPr="0053328A" w:rsidRDefault="003B38C3" w:rsidP="003B38C3">
            <w:pPr>
              <w:pStyle w:val="TableColumnHeaders"/>
              <w:spacing w:after="0"/>
            </w:pPr>
          </w:p>
        </w:tc>
        <w:tc>
          <w:tcPr>
            <w:tcW w:w="572" w:type="dxa"/>
            <w:shd w:val="clear" w:color="auto" w:fill="3E5C61" w:themeFill="accent2"/>
          </w:tcPr>
          <w:p w14:paraId="227718FE" w14:textId="55F874DD" w:rsidR="003B38C3" w:rsidRPr="0053328A" w:rsidRDefault="003B38C3" w:rsidP="003B38C3">
            <w:pPr>
              <w:pStyle w:val="TableColumnHeaders"/>
              <w:spacing w:after="0"/>
            </w:pPr>
            <w:r>
              <w:t>Yes</w:t>
            </w:r>
          </w:p>
        </w:tc>
        <w:tc>
          <w:tcPr>
            <w:tcW w:w="525" w:type="dxa"/>
            <w:shd w:val="clear" w:color="auto" w:fill="3E5C61" w:themeFill="accent2"/>
          </w:tcPr>
          <w:p w14:paraId="4E068BDC" w14:textId="6A5FE031" w:rsidR="003B38C3" w:rsidRPr="0053328A" w:rsidRDefault="003B38C3" w:rsidP="003B38C3">
            <w:pPr>
              <w:pStyle w:val="TableColumnHeaders"/>
              <w:spacing w:after="0"/>
            </w:pPr>
            <w:r>
              <w:t>No</w:t>
            </w:r>
          </w:p>
        </w:tc>
        <w:tc>
          <w:tcPr>
            <w:tcW w:w="3860" w:type="dxa"/>
            <w:shd w:val="clear" w:color="auto" w:fill="3E5C61" w:themeFill="accent2"/>
          </w:tcPr>
          <w:p w14:paraId="6F0D7CB4" w14:textId="42058451" w:rsidR="003B38C3" w:rsidRPr="0053328A" w:rsidRDefault="003B38C3" w:rsidP="003B38C3">
            <w:pPr>
              <w:pStyle w:val="TableColumnHeaders"/>
              <w:spacing w:after="0"/>
            </w:pPr>
            <w:r>
              <w:t>Comments</w:t>
            </w:r>
          </w:p>
        </w:tc>
      </w:tr>
      <w:tr w:rsidR="003B38C3" w14:paraId="069FB6A5" w14:textId="7375ECF0" w:rsidTr="003B38C3">
        <w:trPr>
          <w:trHeight w:val="1428"/>
        </w:trPr>
        <w:tc>
          <w:tcPr>
            <w:tcW w:w="4383" w:type="dxa"/>
            <w:vAlign w:val="center"/>
          </w:tcPr>
          <w:p w14:paraId="13AB651F" w14:textId="25C15E1D" w:rsidR="003B38C3" w:rsidRDefault="003B38C3" w:rsidP="003B38C3">
            <w:pPr>
              <w:pStyle w:val="Heading1"/>
              <w:spacing w:before="0" w:after="0"/>
              <w:outlineLvl w:val="0"/>
            </w:pPr>
            <w:r w:rsidRPr="003B38C3">
              <w:t>The author uses appropriate rhyme scheme with ABAB structure accurately.</w:t>
            </w:r>
          </w:p>
        </w:tc>
        <w:tc>
          <w:tcPr>
            <w:tcW w:w="572" w:type="dxa"/>
            <w:vAlign w:val="center"/>
          </w:tcPr>
          <w:p w14:paraId="315301F2" w14:textId="77777777" w:rsidR="003B38C3" w:rsidRDefault="003B38C3" w:rsidP="003B38C3">
            <w:pPr>
              <w:spacing w:after="0"/>
            </w:pPr>
          </w:p>
        </w:tc>
        <w:tc>
          <w:tcPr>
            <w:tcW w:w="525" w:type="dxa"/>
            <w:vAlign w:val="center"/>
          </w:tcPr>
          <w:p w14:paraId="587E76C8" w14:textId="77777777" w:rsidR="003B38C3" w:rsidRDefault="003B38C3" w:rsidP="003B38C3">
            <w:pPr>
              <w:spacing w:after="0"/>
            </w:pPr>
          </w:p>
        </w:tc>
        <w:tc>
          <w:tcPr>
            <w:tcW w:w="3860" w:type="dxa"/>
            <w:vAlign w:val="center"/>
          </w:tcPr>
          <w:p w14:paraId="0E0FB498" w14:textId="77777777" w:rsidR="003B38C3" w:rsidRDefault="003B38C3" w:rsidP="003B38C3">
            <w:pPr>
              <w:spacing w:after="0"/>
            </w:pPr>
          </w:p>
        </w:tc>
      </w:tr>
      <w:tr w:rsidR="003B38C3" w14:paraId="1F9B7BCB" w14:textId="0B8FD302" w:rsidTr="003B38C3">
        <w:trPr>
          <w:trHeight w:val="1428"/>
        </w:trPr>
        <w:tc>
          <w:tcPr>
            <w:tcW w:w="4383" w:type="dxa"/>
            <w:vAlign w:val="center"/>
          </w:tcPr>
          <w:p w14:paraId="382E7F34" w14:textId="3962E057" w:rsidR="003B38C3" w:rsidRDefault="003B38C3" w:rsidP="003B38C3">
            <w:pPr>
              <w:pStyle w:val="Heading1"/>
              <w:spacing w:before="0" w:after="0"/>
              <w:outlineLvl w:val="0"/>
            </w:pPr>
            <w:r w:rsidRPr="003B38C3">
              <w:t xml:space="preserve">The sonnet follows the iambic pentameter meter. </w:t>
            </w:r>
            <w:r w:rsidR="004B3A32">
              <w:t>T</w:t>
            </w:r>
            <w:r w:rsidRPr="003B38C3">
              <w:t>he appropriate stress marks</w:t>
            </w:r>
            <w:r w:rsidR="004B3A32">
              <w:t xml:space="preserve"> can be applied.</w:t>
            </w:r>
          </w:p>
        </w:tc>
        <w:tc>
          <w:tcPr>
            <w:tcW w:w="572" w:type="dxa"/>
            <w:vAlign w:val="center"/>
          </w:tcPr>
          <w:p w14:paraId="6AD2CE9F" w14:textId="77777777" w:rsidR="003B38C3" w:rsidRDefault="003B38C3" w:rsidP="003B38C3">
            <w:pPr>
              <w:spacing w:after="0"/>
            </w:pPr>
          </w:p>
        </w:tc>
        <w:tc>
          <w:tcPr>
            <w:tcW w:w="525" w:type="dxa"/>
            <w:vAlign w:val="center"/>
          </w:tcPr>
          <w:p w14:paraId="344D96B5" w14:textId="77777777" w:rsidR="003B38C3" w:rsidRDefault="003B38C3" w:rsidP="003B38C3">
            <w:pPr>
              <w:spacing w:after="0"/>
            </w:pPr>
          </w:p>
        </w:tc>
        <w:tc>
          <w:tcPr>
            <w:tcW w:w="3860" w:type="dxa"/>
            <w:vAlign w:val="center"/>
          </w:tcPr>
          <w:p w14:paraId="279EB883" w14:textId="77777777" w:rsidR="003B38C3" w:rsidRDefault="003B38C3" w:rsidP="003B38C3">
            <w:pPr>
              <w:spacing w:after="0"/>
            </w:pPr>
          </w:p>
        </w:tc>
      </w:tr>
      <w:tr w:rsidR="003B38C3" w14:paraId="3ACDB2BF" w14:textId="0F1949B1" w:rsidTr="003B38C3">
        <w:trPr>
          <w:trHeight w:val="1428"/>
        </w:trPr>
        <w:tc>
          <w:tcPr>
            <w:tcW w:w="4383" w:type="dxa"/>
            <w:vAlign w:val="center"/>
          </w:tcPr>
          <w:p w14:paraId="769511A6" w14:textId="7AEDDD53" w:rsidR="003B38C3" w:rsidRDefault="003B38C3" w:rsidP="003B38C3">
            <w:pPr>
              <w:pStyle w:val="Heading1"/>
              <w:spacing w:before="0" w:after="0"/>
              <w:outlineLvl w:val="0"/>
            </w:pPr>
            <w:r w:rsidRPr="003B38C3">
              <w:t>The sonnet has a clear theme that is consistent throughout the poem.</w:t>
            </w:r>
          </w:p>
        </w:tc>
        <w:tc>
          <w:tcPr>
            <w:tcW w:w="572" w:type="dxa"/>
            <w:vAlign w:val="center"/>
          </w:tcPr>
          <w:p w14:paraId="4FD2FC6C" w14:textId="77777777" w:rsidR="003B38C3" w:rsidRDefault="003B38C3" w:rsidP="003B38C3">
            <w:pPr>
              <w:spacing w:after="0"/>
            </w:pPr>
          </w:p>
        </w:tc>
        <w:tc>
          <w:tcPr>
            <w:tcW w:w="525" w:type="dxa"/>
            <w:vAlign w:val="center"/>
          </w:tcPr>
          <w:p w14:paraId="6C2AA375" w14:textId="77777777" w:rsidR="003B38C3" w:rsidRDefault="003B38C3" w:rsidP="003B38C3">
            <w:pPr>
              <w:spacing w:after="0"/>
            </w:pPr>
          </w:p>
        </w:tc>
        <w:tc>
          <w:tcPr>
            <w:tcW w:w="3860" w:type="dxa"/>
            <w:vAlign w:val="center"/>
          </w:tcPr>
          <w:p w14:paraId="582CC572" w14:textId="77777777" w:rsidR="003B38C3" w:rsidRDefault="003B38C3" w:rsidP="003B38C3">
            <w:pPr>
              <w:spacing w:after="0"/>
            </w:pPr>
          </w:p>
        </w:tc>
      </w:tr>
      <w:tr w:rsidR="003B38C3" w14:paraId="3B93DE00" w14:textId="489F7E74" w:rsidTr="003B38C3">
        <w:trPr>
          <w:trHeight w:val="1428"/>
        </w:trPr>
        <w:tc>
          <w:tcPr>
            <w:tcW w:w="4383" w:type="dxa"/>
            <w:vAlign w:val="center"/>
          </w:tcPr>
          <w:p w14:paraId="3F76C880" w14:textId="4DB6CEBF" w:rsidR="003B38C3" w:rsidRDefault="003B38C3" w:rsidP="003B38C3">
            <w:pPr>
              <w:pStyle w:val="Heading1"/>
              <w:spacing w:before="0" w:after="0"/>
              <w:outlineLvl w:val="0"/>
            </w:pPr>
            <w:r w:rsidRPr="003B38C3">
              <w:t>The sonnet is free from spelling and grammatical errors.</w:t>
            </w:r>
          </w:p>
        </w:tc>
        <w:tc>
          <w:tcPr>
            <w:tcW w:w="572" w:type="dxa"/>
            <w:vAlign w:val="center"/>
          </w:tcPr>
          <w:p w14:paraId="4AF69A89" w14:textId="77777777" w:rsidR="003B38C3" w:rsidRDefault="003B38C3" w:rsidP="003B38C3">
            <w:pPr>
              <w:spacing w:after="0"/>
            </w:pPr>
          </w:p>
        </w:tc>
        <w:tc>
          <w:tcPr>
            <w:tcW w:w="525" w:type="dxa"/>
            <w:vAlign w:val="center"/>
          </w:tcPr>
          <w:p w14:paraId="719350E9" w14:textId="77777777" w:rsidR="003B38C3" w:rsidRDefault="003B38C3" w:rsidP="003B38C3">
            <w:pPr>
              <w:spacing w:after="0"/>
            </w:pPr>
          </w:p>
        </w:tc>
        <w:tc>
          <w:tcPr>
            <w:tcW w:w="3860" w:type="dxa"/>
            <w:vAlign w:val="center"/>
          </w:tcPr>
          <w:p w14:paraId="29C31264" w14:textId="77777777" w:rsidR="003B38C3" w:rsidRDefault="003B38C3" w:rsidP="003B38C3">
            <w:pPr>
              <w:spacing w:after="0"/>
            </w:pPr>
          </w:p>
        </w:tc>
      </w:tr>
    </w:tbl>
    <w:p w14:paraId="63088492" w14:textId="77777777" w:rsidR="003B38C3" w:rsidRDefault="003B38C3" w:rsidP="003B38C3"/>
    <w:p w14:paraId="490E1938" w14:textId="4945050E" w:rsidR="003B38C3" w:rsidRDefault="003B38C3" w:rsidP="003B38C3">
      <w:pPr>
        <w:pStyle w:val="ListParagraph"/>
        <w:numPr>
          <w:ilvl w:val="0"/>
          <w:numId w:val="11"/>
        </w:numPr>
        <w:spacing w:line="360" w:lineRule="auto"/>
      </w:pPr>
      <w:r>
        <w:t>The most effective part of this sonnet for the reader is… ______________________________________________________________________________________________________________________________________________</w:t>
      </w:r>
    </w:p>
    <w:p w14:paraId="34FA6483" w14:textId="77777777" w:rsidR="003B38C3" w:rsidRDefault="003B38C3" w:rsidP="003B38C3"/>
    <w:p w14:paraId="2870537B" w14:textId="0C5B81F9" w:rsidR="0036040A" w:rsidRPr="0036040A" w:rsidRDefault="003B38C3" w:rsidP="003B38C3">
      <w:pPr>
        <w:pStyle w:val="ListParagraph"/>
        <w:numPr>
          <w:ilvl w:val="0"/>
          <w:numId w:val="11"/>
        </w:numPr>
        <w:spacing w:line="360" w:lineRule="auto"/>
      </w:pPr>
      <w:r>
        <w:t>One way to make this sonnet more effective or enjoyable for the reader is to… ______________________________________________________________________________________________________________________________________________</w:t>
      </w:r>
    </w:p>
    <w:sectPr w:rsidR="0036040A" w:rsidRPr="0036040A" w:rsidSect="00FB07A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3A575" w14:textId="77777777" w:rsidR="00CB6848" w:rsidRDefault="00CB6848" w:rsidP="00293785">
      <w:pPr>
        <w:spacing w:after="0" w:line="240" w:lineRule="auto"/>
      </w:pPr>
      <w:r>
        <w:separator/>
      </w:r>
    </w:p>
  </w:endnote>
  <w:endnote w:type="continuationSeparator" w:id="0">
    <w:p w14:paraId="0E47BFEC" w14:textId="77777777" w:rsidR="00CB6848" w:rsidRDefault="00CB684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AC09" w14:textId="24999F59" w:rsidR="00293785" w:rsidRDefault="00FB07AA">
    <w:pPr>
      <w:pStyle w:val="Footer"/>
    </w:pPr>
    <w:r>
      <w:rPr>
        <w:noProof/>
      </w:rPr>
      <w:drawing>
        <wp:anchor distT="0" distB="0" distL="114300" distR="114300" simplePos="0" relativeHeight="251668480" behindDoc="1" locked="1" layoutInCell="1" allowOverlap="1" wp14:anchorId="3482E9BB" wp14:editId="5CCF08F8">
          <wp:simplePos x="0" y="0"/>
          <wp:positionH relativeFrom="column">
            <wp:posOffset>5708015</wp:posOffset>
          </wp:positionH>
          <wp:positionV relativeFrom="page">
            <wp:posOffset>9314180</wp:posOffset>
          </wp:positionV>
          <wp:extent cx="566420" cy="511810"/>
          <wp:effectExtent l="0" t="0" r="5080" b="0"/>
          <wp:wrapTight wrapText="bothSides">
            <wp:wrapPolygon edited="0">
              <wp:start x="7265" y="0"/>
              <wp:lineTo x="4843" y="1072"/>
              <wp:lineTo x="0" y="6968"/>
              <wp:lineTo x="0" y="9648"/>
              <wp:lineTo x="1937" y="17151"/>
              <wp:lineTo x="6780" y="20903"/>
              <wp:lineTo x="7749" y="20903"/>
              <wp:lineTo x="14045" y="20903"/>
              <wp:lineTo x="14529" y="20903"/>
              <wp:lineTo x="19857" y="17151"/>
              <wp:lineTo x="21309" y="10184"/>
              <wp:lineTo x="21309" y="6968"/>
              <wp:lineTo x="16951" y="1072"/>
              <wp:lineTo x="14529" y="0"/>
              <wp:lineTo x="7265" y="0"/>
            </wp:wrapPolygon>
          </wp:wrapTight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AF3A9F" wp14:editId="4068CCB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21D17" w14:textId="6B838F04" w:rsidR="00293785" w:rsidRDefault="00CB684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C6F36ED101147D4800E0BDE83CD19A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B38C3">
                                <w:t>#unstressed #stressed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F3A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53021D17" w14:textId="6B838F04" w:rsidR="00293785" w:rsidRDefault="00CB684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C6F36ED101147D4800E0BDE83CD19A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B38C3">
                          <w:t>#unstressed #stressed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F8251FD" wp14:editId="159011A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B03C4" w14:textId="77777777" w:rsidR="00CB6848" w:rsidRDefault="00CB6848" w:rsidP="00293785">
      <w:pPr>
        <w:spacing w:after="0" w:line="240" w:lineRule="auto"/>
      </w:pPr>
      <w:r>
        <w:separator/>
      </w:r>
    </w:p>
  </w:footnote>
  <w:footnote w:type="continuationSeparator" w:id="0">
    <w:p w14:paraId="49E19C6B" w14:textId="77777777" w:rsidR="00CB6848" w:rsidRDefault="00CB684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8C0FF" w14:textId="77777777" w:rsidR="00FB07AA" w:rsidRDefault="00FB0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CA1A9" w14:textId="77777777" w:rsidR="00FB07AA" w:rsidRDefault="00FB0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50A46" w14:textId="77777777" w:rsidR="00FB07AA" w:rsidRDefault="00FB0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3A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B38C3"/>
    <w:rsid w:val="00446C13"/>
    <w:rsid w:val="004B3A32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053A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B6848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B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A095"/>
  <w15:docId w15:val="{7BED0BC0-8283-4077-9B7C-AD62CA5B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6F36ED101147D4800E0BDE83CD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DC77-8D87-4825-8831-FBE86B36D586}"/>
      </w:docPartPr>
      <w:docPartBody>
        <w:p w:rsidR="00684998" w:rsidRDefault="00F9023A">
          <w:pPr>
            <w:pStyle w:val="4C6F36ED101147D4800E0BDE83CD19A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98"/>
    <w:rsid w:val="00684998"/>
    <w:rsid w:val="00F9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6F36ED101147D4800E0BDE83CD19A6">
    <w:name w:val="4C6F36ED101147D4800E0BDE83CD1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Vertical.dotx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#unstressed #stressed</dc:title>
  <dc:creator>K20Center@groups.ou.edu</dc:creator>
  <cp:lastModifiedBy>Lunsford, Janaye N.</cp:lastModifiedBy>
  <cp:revision>2</cp:revision>
  <cp:lastPrinted>2016-07-14T14:08:00Z</cp:lastPrinted>
  <dcterms:created xsi:type="dcterms:W3CDTF">2020-11-17T22:01:00Z</dcterms:created>
  <dcterms:modified xsi:type="dcterms:W3CDTF">2020-11-17T22:01:00Z</dcterms:modified>
</cp:coreProperties>
</file>