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68A5AB" w14:textId="5BB8CF06" w:rsidR="00446C13" w:rsidRPr="00DC7A6D" w:rsidRDefault="001B2D67" w:rsidP="00DC7A6D">
      <w:pPr>
        <w:pStyle w:val="Title"/>
      </w:pPr>
      <w:r>
        <w:t>Attractions and subatomic particles</w:t>
      </w:r>
    </w:p>
    <w:p w14:paraId="5D64D958" w14:textId="54B786D2" w:rsidR="00446C13" w:rsidRDefault="001B2D67" w:rsidP="002B2828">
      <w:pPr>
        <w:pStyle w:val="Heading1"/>
      </w:pPr>
      <w:r>
        <w:t>Part 1: Black Box</w:t>
      </w:r>
    </w:p>
    <w:p w14:paraId="16F61DBA" w14:textId="472E5D11" w:rsidR="001B2D67" w:rsidRDefault="001B2D67" w:rsidP="001B2D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5B653" wp14:editId="4FA72C76">
                <wp:simplePos x="0" y="0"/>
                <wp:positionH relativeFrom="column">
                  <wp:posOffset>685800</wp:posOffset>
                </wp:positionH>
                <wp:positionV relativeFrom="paragraph">
                  <wp:posOffset>309245</wp:posOffset>
                </wp:positionV>
                <wp:extent cx="4591050" cy="2886075"/>
                <wp:effectExtent l="19050" t="19050" r="19050" b="2857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886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" style="position:absolute;margin-left:54pt;margin-top:24.35pt;width:361.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3e5c61 [3200]" strokeweight="2.25pt" w14:anchorId="24024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">
                <w10:wrap type="topAndBottom"/>
              </v:rect>
            </w:pict>
          </mc:Fallback>
        </mc:AlternateContent>
      </w:r>
      <w:r w:rsidRPr="001B2D67">
        <w:t>Draw what you think is in your black box</w:t>
      </w:r>
      <w:r>
        <w:t>.</w:t>
      </w:r>
    </w:p>
    <w:p w14:paraId="6201CD7C" w14:textId="6E31EE2C" w:rsidR="001B2D67" w:rsidRDefault="001B2D67" w:rsidP="001B2D67">
      <w:pPr>
        <w:pStyle w:val="BodyText"/>
      </w:pPr>
    </w:p>
    <w:p w14:paraId="0C8AF95C" w14:textId="08C83262" w:rsidR="00D21FF0" w:rsidRDefault="00D21FF0" w:rsidP="002B2828">
      <w:pPr>
        <w:pStyle w:val="Heading1"/>
      </w:pPr>
      <w:r>
        <w:t>Part 2: Magnet Attractions</w:t>
      </w:r>
    </w:p>
    <w:p w14:paraId="67A8A2C0" w14:textId="163AF23D" w:rsidR="002B08A8" w:rsidRDefault="002B08A8" w:rsidP="00D21FF0">
      <w:r>
        <w:t>You can use your bar magnets to test the relationship between the positive and negative poles of two magnets. Before you begin, answer the questions below.</w:t>
      </w:r>
    </w:p>
    <w:p w14:paraId="6AEE3525" w14:textId="77777777" w:rsidR="002B08A8" w:rsidRDefault="002B08A8" w:rsidP="002B08A8">
      <w:pPr>
        <w:pStyle w:val="ListParagraph"/>
        <w:numPr>
          <w:ilvl w:val="0"/>
          <w:numId w:val="15"/>
        </w:numPr>
      </w:pPr>
      <w:r w:rsidRPr="00D21FF0">
        <w:t>How will you know if the poles are attracted to each other?</w:t>
      </w:r>
    </w:p>
    <w:p w14:paraId="4F79CAFF" w14:textId="5B618574" w:rsidR="002B08A8" w:rsidRDefault="002B08A8" w:rsidP="002B08A8">
      <w:pPr>
        <w:pStyle w:val="BodyText"/>
      </w:pPr>
    </w:p>
    <w:p w14:paraId="4749A422" w14:textId="77777777" w:rsidR="002B08A8" w:rsidRDefault="002B08A8" w:rsidP="002B08A8">
      <w:pPr>
        <w:pStyle w:val="BodyText"/>
      </w:pPr>
    </w:p>
    <w:p w14:paraId="0E6D6A89" w14:textId="77777777" w:rsidR="002B08A8" w:rsidRPr="00D21FF0" w:rsidRDefault="002B08A8" w:rsidP="002B08A8">
      <w:pPr>
        <w:pStyle w:val="BodyText"/>
      </w:pPr>
    </w:p>
    <w:p w14:paraId="169CD1B4" w14:textId="5D006266" w:rsidR="002B08A8" w:rsidRDefault="002B08A8" w:rsidP="002B08A8">
      <w:pPr>
        <w:pStyle w:val="ListParagraph"/>
        <w:numPr>
          <w:ilvl w:val="0"/>
          <w:numId w:val="15"/>
        </w:numPr>
      </w:pPr>
      <w:r w:rsidRPr="00D21FF0">
        <w:t xml:space="preserve">How will you know if the poles are repelled </w:t>
      </w:r>
      <w:r>
        <w:t>from</w:t>
      </w:r>
      <w:r w:rsidRPr="00D21FF0">
        <w:t xml:space="preserve"> each other?</w:t>
      </w:r>
    </w:p>
    <w:p w14:paraId="0B62AA7E" w14:textId="4C558ABF" w:rsidR="00D21FF0" w:rsidRPr="00D21FF0" w:rsidRDefault="002B08A8" w:rsidP="002B08A8">
      <w:pPr>
        <w:spacing w:after="160" w:line="259" w:lineRule="auto"/>
      </w:pPr>
      <w:r>
        <w:br w:type="page"/>
      </w:r>
      <w:r>
        <w:lastRenderedPageBreak/>
        <w:t>D</w:t>
      </w:r>
      <w:r w:rsidR="00D21FF0" w:rsidRPr="00D21FF0">
        <w:t>ocument</w:t>
      </w:r>
      <w:r>
        <w:t xml:space="preserve"> in the chart below</w:t>
      </w:r>
      <w:r w:rsidR="00D21FF0" w:rsidRPr="00D21FF0">
        <w:t xml:space="preserve"> whether the poles are attracted </w:t>
      </w:r>
      <w:r>
        <w:t xml:space="preserve">to </w:t>
      </w:r>
      <w:r w:rsidR="00D21FF0" w:rsidRPr="00D21FF0">
        <w:t>or repelled</w:t>
      </w:r>
      <w:r>
        <w:t xml:space="preserve"> from each other.</w:t>
      </w:r>
    </w:p>
    <w:p w14:paraId="4A545B9C" w14:textId="6F8B64AD" w:rsidR="002B08A8" w:rsidRDefault="002B08A8">
      <w:pPr>
        <w:spacing w:after="160" w:line="259" w:lineRule="auto"/>
      </w:pPr>
    </w:p>
    <w:p w14:paraId="51A223FA" w14:textId="77777777" w:rsidR="00D87FC1" w:rsidRPr="00D87FC1" w:rsidRDefault="00D87FC1" w:rsidP="00D87FC1">
      <w:pPr>
        <w:pStyle w:val="BodyText"/>
      </w:pPr>
    </w:p>
    <w:tbl>
      <w:tblPr>
        <w:tblStyle w:val="TableGrid"/>
        <w:tblW w:w="7454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1477"/>
        <w:gridCol w:w="2464"/>
        <w:gridCol w:w="2463"/>
      </w:tblGrid>
      <w:tr w:rsidR="006D2700" w14:paraId="068D6599" w14:textId="77777777" w:rsidTr="6B1CD811">
        <w:trPr>
          <w:cantSplit/>
          <w:tblHeader/>
          <w:jc w:val="center"/>
        </w:trPr>
        <w:tc>
          <w:tcPr>
            <w:tcW w:w="1050" w:type="dxa"/>
            <w:tcBorders>
              <w:top w:val="single" w:sz="4" w:space="0" w:color="FFFFFF" w:themeColor="background2"/>
              <w:left w:val="single" w:sz="4" w:space="0" w:color="FFFFFF" w:themeColor="background2"/>
              <w:bottom w:val="single" w:sz="4" w:space="0" w:color="FFFFFF" w:themeColor="background2"/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3CB6DCE" w14:textId="77777777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2"/>
              <w:left w:val="single" w:sz="4" w:space="0" w:color="FFFFFF" w:themeColor="background2"/>
              <w:bottom w:val="single" w:sz="4" w:space="0" w:color="FFFFFF" w:themeColor="background2"/>
            </w:tcBorders>
            <w:shd w:val="clear" w:color="auto" w:fill="auto"/>
            <w:vAlign w:val="center"/>
          </w:tcPr>
          <w:p w14:paraId="4A47F91A" w14:textId="4F9C21D9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2"/>
            <w:vAlign w:val="center"/>
          </w:tcPr>
          <w:p w14:paraId="289F690A" w14:textId="0EA6E188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1</w:t>
            </w:r>
            <w:r w:rsidRPr="00732274">
              <w:rPr>
                <w:b/>
                <w:bCs/>
                <w:color w:val="910D28" w:themeColor="accent1"/>
                <w:vertAlign w:val="superscript"/>
              </w:rPr>
              <w:t>st</w:t>
            </w:r>
            <w:r w:rsidRPr="00732274">
              <w:rPr>
                <w:b/>
                <w:bCs/>
                <w:color w:val="910D28" w:themeColor="accent1"/>
              </w:rPr>
              <w:t xml:space="preserve"> Magnet</w:t>
            </w:r>
          </w:p>
        </w:tc>
      </w:tr>
      <w:tr w:rsidR="006D2700" w14:paraId="1AFB5E39" w14:textId="77777777" w:rsidTr="6B1CD811">
        <w:trPr>
          <w:cantSplit/>
          <w:trHeight w:val="477"/>
          <w:tblHeader/>
          <w:jc w:val="center"/>
        </w:trPr>
        <w:tc>
          <w:tcPr>
            <w:tcW w:w="1050" w:type="dxa"/>
            <w:tcBorders>
              <w:top w:val="single" w:sz="4" w:space="0" w:color="FFFFFF" w:themeColor="background2"/>
              <w:left w:val="single" w:sz="4" w:space="0" w:color="FFFFFF" w:themeColor="background2"/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23119C77" w14:textId="77777777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2"/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A91154E" w14:textId="1E4047DD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2464" w:type="dxa"/>
            <w:shd w:val="clear" w:color="auto" w:fill="FFFFFF" w:themeFill="background2"/>
            <w:vAlign w:val="center"/>
          </w:tcPr>
          <w:p w14:paraId="44D20CE5" w14:textId="023ADA6E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Positive</w:t>
            </w:r>
          </w:p>
        </w:tc>
        <w:tc>
          <w:tcPr>
            <w:tcW w:w="2463" w:type="dxa"/>
            <w:shd w:val="clear" w:color="auto" w:fill="FFFFFF" w:themeFill="background2"/>
            <w:vAlign w:val="center"/>
          </w:tcPr>
          <w:p w14:paraId="494589BA" w14:textId="5AF741A1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Negative</w:t>
            </w:r>
          </w:p>
        </w:tc>
      </w:tr>
      <w:tr w:rsidR="006D2700" w14:paraId="2766BDBD" w14:textId="77777777" w:rsidTr="6B1CD811">
        <w:trPr>
          <w:trHeight w:val="949"/>
          <w:jc w:val="center"/>
        </w:trPr>
        <w:tc>
          <w:tcPr>
            <w:tcW w:w="1050" w:type="dxa"/>
            <w:vMerge w:val="restart"/>
            <w:shd w:val="clear" w:color="auto" w:fill="auto"/>
            <w:textDirection w:val="btLr"/>
            <w:vAlign w:val="center"/>
          </w:tcPr>
          <w:p w14:paraId="6AC7F16A" w14:textId="1BE22FA5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2</w:t>
            </w:r>
            <w:r w:rsidRPr="00732274">
              <w:rPr>
                <w:b/>
                <w:bCs/>
                <w:color w:val="910D28" w:themeColor="accent1"/>
                <w:vertAlign w:val="superscript"/>
              </w:rPr>
              <w:t>nd</w:t>
            </w:r>
            <w:r w:rsidRPr="00732274">
              <w:rPr>
                <w:b/>
                <w:bCs/>
                <w:color w:val="910D28" w:themeColor="accent1"/>
              </w:rPr>
              <w:t xml:space="preserve"> Magnet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93AC229" w14:textId="75AC3707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Positive</w:t>
            </w:r>
          </w:p>
        </w:tc>
        <w:tc>
          <w:tcPr>
            <w:tcW w:w="2464" w:type="dxa"/>
            <w:vAlign w:val="center"/>
          </w:tcPr>
          <w:p w14:paraId="385A660F" w14:textId="1DDF767D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2463" w:type="dxa"/>
            <w:vAlign w:val="center"/>
          </w:tcPr>
          <w:p w14:paraId="7F0A0D82" w14:textId="77777777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</w:tr>
      <w:tr w:rsidR="006D2700" w14:paraId="5E8E7813" w14:textId="77777777" w:rsidTr="6B1CD811">
        <w:trPr>
          <w:trHeight w:val="949"/>
          <w:jc w:val="center"/>
        </w:trPr>
        <w:tc>
          <w:tcPr>
            <w:tcW w:w="1050" w:type="dxa"/>
            <w:vMerge/>
            <w:vAlign w:val="center"/>
          </w:tcPr>
          <w:p w14:paraId="7F27415D" w14:textId="77777777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6078DD78" w14:textId="138562AD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Negative</w:t>
            </w:r>
          </w:p>
        </w:tc>
        <w:tc>
          <w:tcPr>
            <w:tcW w:w="2464" w:type="dxa"/>
            <w:vAlign w:val="center"/>
          </w:tcPr>
          <w:p w14:paraId="2B89CA09" w14:textId="294D8476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2463" w:type="dxa"/>
            <w:vAlign w:val="center"/>
          </w:tcPr>
          <w:p w14:paraId="601894F5" w14:textId="77777777" w:rsidR="006D2700" w:rsidRPr="00732274" w:rsidRDefault="006D2700" w:rsidP="002B2828">
            <w:pPr>
              <w:jc w:val="center"/>
              <w:rPr>
                <w:b/>
                <w:bCs/>
                <w:color w:val="910D28" w:themeColor="accent1"/>
              </w:rPr>
            </w:pPr>
          </w:p>
        </w:tc>
      </w:tr>
    </w:tbl>
    <w:p w14:paraId="03418956" w14:textId="77777777" w:rsidR="00D21FF0" w:rsidRPr="00D21FF0" w:rsidRDefault="00D21FF0" w:rsidP="00D21FF0"/>
    <w:p w14:paraId="5C3CDAFA" w14:textId="544B13A6" w:rsidR="001B2D67" w:rsidRDefault="001B2D67" w:rsidP="001B2D67">
      <w:pPr>
        <w:pStyle w:val="BodyText"/>
      </w:pPr>
    </w:p>
    <w:p w14:paraId="5F3D9B5F" w14:textId="77777777" w:rsidR="00D87FC1" w:rsidRDefault="00D87FC1" w:rsidP="001B2D67">
      <w:pPr>
        <w:pStyle w:val="BodyText"/>
      </w:pPr>
    </w:p>
    <w:p w14:paraId="47570983" w14:textId="0930E267" w:rsidR="00732274" w:rsidRDefault="00732274" w:rsidP="00732274">
      <w:pPr>
        <w:pStyle w:val="BodyText"/>
      </w:pPr>
      <w:r w:rsidRPr="00732274">
        <w:t xml:space="preserve">What do the patterns </w:t>
      </w:r>
      <w:r w:rsidR="002B08A8">
        <w:t xml:space="preserve">and relationships you observed </w:t>
      </w:r>
      <w:r w:rsidRPr="00732274">
        <w:t xml:space="preserve">tell you? Does the data </w:t>
      </w:r>
      <w:r w:rsidR="002B08A8">
        <w:t xml:space="preserve">you recorded above </w:t>
      </w:r>
      <w:r w:rsidRPr="00732274">
        <w:t>align with your prior knowledge?</w:t>
      </w:r>
    </w:p>
    <w:p w14:paraId="336A346E" w14:textId="0C6A1D7B" w:rsidR="002B08A8" w:rsidRDefault="002B08A8" w:rsidP="00732274">
      <w:pPr>
        <w:pStyle w:val="BodyText"/>
      </w:pPr>
    </w:p>
    <w:p w14:paraId="5DF9B007" w14:textId="4EE2ED29" w:rsidR="002B08A8" w:rsidRDefault="002B08A8" w:rsidP="00732274">
      <w:pPr>
        <w:pStyle w:val="BodyText"/>
      </w:pPr>
    </w:p>
    <w:p w14:paraId="72B117F5" w14:textId="1DC36BD9" w:rsidR="002B08A8" w:rsidRDefault="00FA766C" w:rsidP="00FA766C">
      <w:pPr>
        <w:pStyle w:val="BodyText"/>
        <w:tabs>
          <w:tab w:val="left" w:pos="7953"/>
        </w:tabs>
      </w:pPr>
      <w:r>
        <w:tab/>
      </w:r>
    </w:p>
    <w:p w14:paraId="5A326ACD" w14:textId="77777777" w:rsidR="00C01280" w:rsidRPr="00732274" w:rsidRDefault="00C01280" w:rsidP="00732274">
      <w:pPr>
        <w:pStyle w:val="BodyText"/>
      </w:pPr>
    </w:p>
    <w:p w14:paraId="2FE42F4A" w14:textId="77777777" w:rsidR="00D87FC1" w:rsidRDefault="00D87FC1" w:rsidP="002B2828">
      <w:pPr>
        <w:pStyle w:val="Heading1"/>
      </w:pPr>
      <w:r>
        <w:br/>
      </w:r>
    </w:p>
    <w:p w14:paraId="21738C19" w14:textId="77777777" w:rsidR="00D87FC1" w:rsidRDefault="00D87FC1" w:rsidP="00D87FC1">
      <w:pPr>
        <w:pStyle w:val="BodyText"/>
        <w:rPr>
          <w:rFonts w:asciiTheme="majorHAnsi" w:eastAsiaTheme="majorEastAsia" w:hAnsiTheme="majorHAnsi" w:cstheme="majorBidi"/>
          <w:color w:val="910D28" w:themeColor="accent1"/>
          <w:szCs w:val="32"/>
          <w:shd w:val="clear" w:color="auto" w:fill="FFFFFF"/>
        </w:rPr>
      </w:pPr>
      <w:r>
        <w:br w:type="page"/>
      </w:r>
    </w:p>
    <w:p w14:paraId="7356DB71" w14:textId="5FF6FDCD" w:rsidR="001B2D67" w:rsidRDefault="002B2828" w:rsidP="002B2828">
      <w:pPr>
        <w:pStyle w:val="Heading1"/>
      </w:pPr>
      <w:r w:rsidRPr="002B2828">
        <w:lastRenderedPageBreak/>
        <w:t>Part 3: Sub</w:t>
      </w:r>
      <w:r w:rsidR="00C01280">
        <w:t>a</w:t>
      </w:r>
      <w:r w:rsidRPr="002B2828">
        <w:t>tomic Particles</w:t>
      </w:r>
    </w:p>
    <w:p w14:paraId="3E3C9895" w14:textId="09ACB44F" w:rsidR="002B2828" w:rsidRPr="002B2828" w:rsidRDefault="002B2828" w:rsidP="002B2828">
      <w:r w:rsidRPr="002B2828">
        <w:t xml:space="preserve">Sub is a prefix that means </w:t>
      </w:r>
      <w:r>
        <w:t>“</w:t>
      </w:r>
      <w:r w:rsidRPr="002B2828">
        <w:t>smaller than.</w:t>
      </w:r>
      <w:r>
        <w:t>”</w:t>
      </w:r>
      <w:r w:rsidRPr="002B2828">
        <w:t xml:space="preserve"> </w:t>
      </w:r>
      <w:r>
        <w:t>Knowing this, w</w:t>
      </w:r>
      <w:r w:rsidRPr="002B2828">
        <w:t xml:space="preserve">hat does </w:t>
      </w:r>
      <w:r>
        <w:t>“</w:t>
      </w:r>
      <w:r w:rsidRPr="002B2828">
        <w:rPr>
          <w:b/>
          <w:bCs/>
        </w:rPr>
        <w:t>sub</w:t>
      </w:r>
      <w:r w:rsidRPr="002B2828">
        <w:t>atomic</w:t>
      </w:r>
      <w:r>
        <w:t>”</w:t>
      </w:r>
      <w:r w:rsidRPr="002B2828">
        <w:t xml:space="preserve"> mean?</w:t>
      </w:r>
    </w:p>
    <w:p w14:paraId="35B6558F" w14:textId="4321C490" w:rsidR="00C01280" w:rsidRDefault="00C01280">
      <w:pPr>
        <w:spacing w:after="160" w:line="259" w:lineRule="auto"/>
      </w:pPr>
    </w:p>
    <w:p w14:paraId="017E9498" w14:textId="70173B3F" w:rsidR="00D87FC1" w:rsidRDefault="00D87FC1" w:rsidP="00D87FC1">
      <w:pPr>
        <w:pStyle w:val="BodyText"/>
      </w:pPr>
    </w:p>
    <w:p w14:paraId="4648CA49" w14:textId="71853533" w:rsidR="00D87FC1" w:rsidRDefault="00D87FC1" w:rsidP="00D87FC1">
      <w:pPr>
        <w:pStyle w:val="BodyText"/>
      </w:pPr>
    </w:p>
    <w:p w14:paraId="1E56C7D6" w14:textId="77777777" w:rsidR="00D87FC1" w:rsidRPr="00D87FC1" w:rsidRDefault="00D87FC1" w:rsidP="00D87FC1">
      <w:pPr>
        <w:pStyle w:val="BodyText"/>
      </w:pPr>
    </w:p>
    <w:p w14:paraId="46FBC1F6" w14:textId="6DAF4DD4" w:rsidR="00C01280" w:rsidRDefault="00C01280" w:rsidP="00C01280">
      <w:pPr>
        <w:pStyle w:val="BodyText"/>
        <w:numPr>
          <w:ilvl w:val="0"/>
          <w:numId w:val="16"/>
        </w:numPr>
      </w:pPr>
      <w:r w:rsidRPr="00D87FC1">
        <w:rPr>
          <w:rStyle w:val="Heading2Char"/>
        </w:rPr>
        <w:t>Proton</w:t>
      </w:r>
      <w:r>
        <w:t xml:space="preserve">: positively charged particle (shorthand: </w:t>
      </w:r>
      <w:r w:rsidRPr="00C01280">
        <w:t>p</w:t>
      </w:r>
      <w:r w:rsidRPr="00C01280">
        <w:rPr>
          <w:vertAlign w:val="superscript"/>
        </w:rPr>
        <w:t>+</w:t>
      </w:r>
      <w:r>
        <w:t>)</w:t>
      </w:r>
    </w:p>
    <w:p w14:paraId="7478D24E" w14:textId="36006758" w:rsidR="00C01280" w:rsidRDefault="00C01280" w:rsidP="00C01280">
      <w:pPr>
        <w:pStyle w:val="BodyText"/>
        <w:numPr>
          <w:ilvl w:val="0"/>
          <w:numId w:val="16"/>
        </w:numPr>
      </w:pPr>
      <w:r w:rsidRPr="00D87FC1">
        <w:rPr>
          <w:rStyle w:val="Heading2Char"/>
        </w:rPr>
        <w:t>Neutron</w:t>
      </w:r>
      <w:r>
        <w:t xml:space="preserve">: neutrally charged particle, about the same size and mass as a proton (shorthand: </w:t>
      </w:r>
      <w:r w:rsidRPr="00C01280">
        <w:t>n</w:t>
      </w:r>
      <w:r w:rsidRPr="00C01280">
        <w:rPr>
          <w:vertAlign w:val="superscript"/>
        </w:rPr>
        <w:t>0</w:t>
      </w:r>
      <w:r>
        <w:t>)</w:t>
      </w:r>
    </w:p>
    <w:p w14:paraId="56DE9777" w14:textId="023D1C36" w:rsidR="00C01280" w:rsidRDefault="00C01280" w:rsidP="00C01280">
      <w:pPr>
        <w:pStyle w:val="BodyText"/>
        <w:numPr>
          <w:ilvl w:val="0"/>
          <w:numId w:val="16"/>
        </w:numPr>
      </w:pPr>
      <w:r w:rsidRPr="00D87FC1">
        <w:rPr>
          <w:rStyle w:val="Heading2Char"/>
        </w:rPr>
        <w:t>Electron</w:t>
      </w:r>
      <w:r>
        <w:t xml:space="preserve">: negatively charged particle, much smaller than protons or neutrons (shorthand: </w:t>
      </w:r>
      <w:r w:rsidRPr="00C01280">
        <w:t>e</w:t>
      </w:r>
      <w:r w:rsidRPr="00C01280">
        <w:rPr>
          <w:vertAlign w:val="superscript"/>
        </w:rPr>
        <w:t>-</w:t>
      </w:r>
      <w:r>
        <w:t>)</w:t>
      </w:r>
    </w:p>
    <w:p w14:paraId="7D6FF152" w14:textId="597E8412" w:rsidR="00D87FC1" w:rsidRDefault="00D87FC1" w:rsidP="00D87FC1">
      <w:pPr>
        <w:pStyle w:val="BodyText"/>
      </w:pPr>
    </w:p>
    <w:p w14:paraId="659D8A57" w14:textId="77777777" w:rsidR="00D87FC1" w:rsidRPr="002B2828" w:rsidRDefault="00D87FC1" w:rsidP="00D87FC1">
      <w:pPr>
        <w:pStyle w:val="BodyText"/>
      </w:pPr>
    </w:p>
    <w:p w14:paraId="2A50707D" w14:textId="77777777" w:rsidR="00C01280" w:rsidRDefault="002B2828" w:rsidP="00D87FC1">
      <w:pPr>
        <w:pStyle w:val="ListParagraph"/>
        <w:numPr>
          <w:ilvl w:val="0"/>
          <w:numId w:val="21"/>
        </w:numPr>
      </w:pPr>
      <w:r w:rsidRPr="002B2828">
        <w:t xml:space="preserve">In what way do </w:t>
      </w:r>
      <w:r w:rsidR="00C01280">
        <w:t>these</w:t>
      </w:r>
      <w:r w:rsidRPr="002B2828">
        <w:t xml:space="preserve"> definitions relate to the magnets </w:t>
      </w:r>
      <w:r w:rsidR="00C01280">
        <w:t>you experimented with in part 2</w:t>
      </w:r>
      <w:r w:rsidRPr="002B2828">
        <w:t xml:space="preserve">? </w:t>
      </w:r>
    </w:p>
    <w:p w14:paraId="2308DD9D" w14:textId="28BEA64C" w:rsidR="00C01280" w:rsidRDefault="00C01280" w:rsidP="002B2828"/>
    <w:p w14:paraId="34FE72F3" w14:textId="67D129B5" w:rsidR="00C01280" w:rsidRDefault="00C01280" w:rsidP="00C01280">
      <w:pPr>
        <w:pStyle w:val="BodyText"/>
      </w:pPr>
    </w:p>
    <w:p w14:paraId="5E39F97E" w14:textId="77777777" w:rsidR="00D87FC1" w:rsidRPr="00C01280" w:rsidRDefault="00D87FC1" w:rsidP="00C01280">
      <w:pPr>
        <w:pStyle w:val="BodyText"/>
      </w:pPr>
    </w:p>
    <w:p w14:paraId="48C78178" w14:textId="77777777" w:rsidR="00C01280" w:rsidRDefault="00C01280" w:rsidP="002B2828"/>
    <w:p w14:paraId="612F3F16" w14:textId="262A889C" w:rsidR="002B2828" w:rsidRPr="002B2828" w:rsidRDefault="002B2828" w:rsidP="00D87FC1">
      <w:pPr>
        <w:pStyle w:val="ListParagraph"/>
        <w:numPr>
          <w:ilvl w:val="0"/>
          <w:numId w:val="21"/>
        </w:numPr>
      </w:pPr>
      <w:r w:rsidRPr="002B2828">
        <w:t>In what ways are they different?</w:t>
      </w:r>
    </w:p>
    <w:p w14:paraId="6B070A43" w14:textId="208C96BE" w:rsidR="00C01280" w:rsidRDefault="00C01280" w:rsidP="00C01280">
      <w:pPr>
        <w:pStyle w:val="BodyText"/>
      </w:pPr>
    </w:p>
    <w:p w14:paraId="4C7FAEEB" w14:textId="77777777" w:rsidR="00C01280" w:rsidRDefault="00C01280" w:rsidP="00C01280">
      <w:pPr>
        <w:pStyle w:val="BodyText"/>
      </w:pPr>
    </w:p>
    <w:p w14:paraId="14E19BD3" w14:textId="77777777" w:rsidR="00C01280" w:rsidRPr="00C01280" w:rsidRDefault="00C01280" w:rsidP="00C01280">
      <w:pPr>
        <w:pStyle w:val="BodyText"/>
      </w:pPr>
    </w:p>
    <w:p w14:paraId="23E48424" w14:textId="77777777" w:rsidR="00D87FC1" w:rsidRDefault="00D87FC1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7E47BEE7" w14:textId="4A89CF5A" w:rsidR="002B2828" w:rsidRDefault="002B2828" w:rsidP="002B2828">
      <w:pPr>
        <w:pStyle w:val="Heading1"/>
      </w:pPr>
      <w:r w:rsidRPr="002B2828">
        <w:lastRenderedPageBreak/>
        <w:t>Part 4: Sub</w:t>
      </w:r>
      <w:r w:rsidR="008D6DA1">
        <w:t>a</w:t>
      </w:r>
      <w:r w:rsidRPr="002B2828">
        <w:t>tomic Particle Attractions</w:t>
      </w:r>
    </w:p>
    <w:p w14:paraId="016C0E87" w14:textId="07FFD3AE" w:rsidR="002B2828" w:rsidRDefault="008D6DA1" w:rsidP="002B2828">
      <w:r>
        <w:t>The table below should look familiar—it has been changed to</w:t>
      </w:r>
      <w:r w:rsidR="002B2828" w:rsidRPr="002B2828">
        <w:t xml:space="preserve"> reflect the names of the particles in the atom. Unlike </w:t>
      </w:r>
      <w:r>
        <w:t>with</w:t>
      </w:r>
      <w:r w:rsidR="002B2828" w:rsidRPr="002B2828">
        <w:t xml:space="preserve"> magnets, protons and electrons are too small to experiment with directly. </w:t>
      </w:r>
      <w:r>
        <w:t>Just as you observed the layout of the black boxes without seeing the insides directly</w:t>
      </w:r>
      <w:r w:rsidR="002B2828" w:rsidRPr="002B2828">
        <w:t xml:space="preserve">, </w:t>
      </w:r>
      <w:r w:rsidR="00A57742">
        <w:t>it is not</w:t>
      </w:r>
      <w:r w:rsidR="002B2828" w:rsidRPr="002B2828">
        <w:t xml:space="preserve"> yet </w:t>
      </w:r>
      <w:r w:rsidR="00A57742">
        <w:t xml:space="preserve">possible </w:t>
      </w:r>
      <w:r w:rsidR="002B2828" w:rsidRPr="002B2828">
        <w:t>to view atom</w:t>
      </w:r>
      <w:r w:rsidR="00A57742">
        <w:t>s</w:t>
      </w:r>
      <w:r w:rsidR="002B2828" w:rsidRPr="002B2828">
        <w:t xml:space="preserve"> or particles directly. </w:t>
      </w:r>
      <w:r w:rsidR="00A57742">
        <w:t>Instead, scientists must use</w:t>
      </w:r>
      <w:r w:rsidR="002B2828" w:rsidRPr="002B2828">
        <w:t xml:space="preserve"> indirect variation–using other data sources to predict and verify relationships. Try to predict whether particles will be attracted to or repelled by each other</w:t>
      </w:r>
      <w:r w:rsidR="00A57742">
        <w:t xml:space="preserve"> in the chart below.</w:t>
      </w:r>
    </w:p>
    <w:p w14:paraId="7C6871F4" w14:textId="77777777" w:rsidR="00A57742" w:rsidRPr="00A57742" w:rsidRDefault="00A57742" w:rsidP="00A57742">
      <w:pPr>
        <w:pStyle w:val="BodyText"/>
      </w:pPr>
    </w:p>
    <w:tbl>
      <w:tblPr>
        <w:tblStyle w:val="TableGrid"/>
        <w:tblW w:w="7454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1477"/>
        <w:gridCol w:w="2464"/>
        <w:gridCol w:w="2463"/>
      </w:tblGrid>
      <w:tr w:rsidR="002B2828" w:rsidRPr="00732274" w14:paraId="6A18132C" w14:textId="77777777" w:rsidTr="6B1CD811">
        <w:trPr>
          <w:cantSplit/>
          <w:tblHeader/>
          <w:jc w:val="center"/>
        </w:trPr>
        <w:tc>
          <w:tcPr>
            <w:tcW w:w="1050" w:type="dxa"/>
            <w:tcBorders>
              <w:top w:val="single" w:sz="4" w:space="0" w:color="FFFFFF" w:themeColor="background2"/>
              <w:left w:val="single" w:sz="4" w:space="0" w:color="FFFFFF" w:themeColor="background2"/>
              <w:bottom w:val="single" w:sz="4" w:space="0" w:color="FFFFFF" w:themeColor="background2"/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00368908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2"/>
              <w:left w:val="single" w:sz="4" w:space="0" w:color="FFFFFF" w:themeColor="background2"/>
              <w:bottom w:val="single" w:sz="4" w:space="0" w:color="FFFFFF" w:themeColor="background2"/>
            </w:tcBorders>
            <w:shd w:val="clear" w:color="auto" w:fill="auto"/>
            <w:vAlign w:val="center"/>
          </w:tcPr>
          <w:p w14:paraId="4733AA08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2"/>
            <w:vAlign w:val="center"/>
          </w:tcPr>
          <w:p w14:paraId="240EE29B" w14:textId="0E9DD2A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1</w:t>
            </w:r>
            <w:r w:rsidRPr="00732274">
              <w:rPr>
                <w:b/>
                <w:bCs/>
                <w:color w:val="910D28" w:themeColor="accent1"/>
                <w:vertAlign w:val="superscript"/>
              </w:rPr>
              <w:t>st</w:t>
            </w:r>
            <w:r w:rsidRPr="00732274">
              <w:rPr>
                <w:b/>
                <w:bCs/>
                <w:color w:val="910D28" w:themeColor="accent1"/>
              </w:rPr>
              <w:t xml:space="preserve"> </w:t>
            </w:r>
            <w:r w:rsidR="00C01280">
              <w:rPr>
                <w:b/>
                <w:bCs/>
                <w:color w:val="910D28" w:themeColor="accent1"/>
              </w:rPr>
              <w:t>Particle</w:t>
            </w:r>
          </w:p>
        </w:tc>
      </w:tr>
      <w:tr w:rsidR="002B2828" w:rsidRPr="00732274" w14:paraId="0BA87FF2" w14:textId="77777777" w:rsidTr="6B1CD811">
        <w:trPr>
          <w:cantSplit/>
          <w:trHeight w:val="477"/>
          <w:tblHeader/>
          <w:jc w:val="center"/>
        </w:trPr>
        <w:tc>
          <w:tcPr>
            <w:tcW w:w="1050" w:type="dxa"/>
            <w:tcBorders>
              <w:top w:val="single" w:sz="4" w:space="0" w:color="FFFFFF" w:themeColor="background2"/>
              <w:left w:val="single" w:sz="4" w:space="0" w:color="FFFFFF" w:themeColor="background2"/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8A46809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2"/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1637EE13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2464" w:type="dxa"/>
            <w:shd w:val="clear" w:color="auto" w:fill="FFFFFF" w:themeFill="background2"/>
            <w:vAlign w:val="center"/>
          </w:tcPr>
          <w:p w14:paraId="7AB50958" w14:textId="17928464" w:rsidR="002B2828" w:rsidRPr="00732274" w:rsidRDefault="00C01280" w:rsidP="00C42070">
            <w:pPr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Proton</w:t>
            </w:r>
          </w:p>
        </w:tc>
        <w:tc>
          <w:tcPr>
            <w:tcW w:w="2463" w:type="dxa"/>
            <w:shd w:val="clear" w:color="auto" w:fill="FFFFFF" w:themeFill="background2"/>
            <w:vAlign w:val="center"/>
          </w:tcPr>
          <w:p w14:paraId="0E3468E3" w14:textId="669672D0" w:rsidR="002B2828" w:rsidRPr="00732274" w:rsidRDefault="00C01280" w:rsidP="00C42070">
            <w:pPr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Electron</w:t>
            </w:r>
          </w:p>
        </w:tc>
      </w:tr>
      <w:tr w:rsidR="002B2828" w:rsidRPr="00732274" w14:paraId="0D1D6332" w14:textId="77777777" w:rsidTr="6B1CD811">
        <w:trPr>
          <w:trHeight w:val="949"/>
          <w:jc w:val="center"/>
        </w:trPr>
        <w:tc>
          <w:tcPr>
            <w:tcW w:w="1050" w:type="dxa"/>
            <w:vMerge w:val="restart"/>
            <w:shd w:val="clear" w:color="auto" w:fill="auto"/>
            <w:textDirection w:val="btLr"/>
            <w:vAlign w:val="center"/>
          </w:tcPr>
          <w:p w14:paraId="5A411239" w14:textId="6C7F8646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  <w:r w:rsidRPr="00732274">
              <w:rPr>
                <w:b/>
                <w:bCs/>
                <w:color w:val="910D28" w:themeColor="accent1"/>
              </w:rPr>
              <w:t>2</w:t>
            </w:r>
            <w:r w:rsidRPr="00732274">
              <w:rPr>
                <w:b/>
                <w:bCs/>
                <w:color w:val="910D28" w:themeColor="accent1"/>
                <w:vertAlign w:val="superscript"/>
              </w:rPr>
              <w:t>nd</w:t>
            </w:r>
            <w:r w:rsidRPr="00732274">
              <w:rPr>
                <w:b/>
                <w:bCs/>
                <w:color w:val="910D28" w:themeColor="accent1"/>
              </w:rPr>
              <w:t xml:space="preserve"> </w:t>
            </w:r>
            <w:r w:rsidR="00C01280">
              <w:rPr>
                <w:b/>
                <w:bCs/>
                <w:color w:val="910D28" w:themeColor="accent1"/>
              </w:rPr>
              <w:t>Particle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D64EE1A" w14:textId="30670A94" w:rsidR="002B2828" w:rsidRPr="00732274" w:rsidRDefault="00C01280" w:rsidP="00C42070">
            <w:pPr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Proton</w:t>
            </w:r>
          </w:p>
        </w:tc>
        <w:tc>
          <w:tcPr>
            <w:tcW w:w="2464" w:type="dxa"/>
            <w:vAlign w:val="center"/>
          </w:tcPr>
          <w:p w14:paraId="740F034E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2463" w:type="dxa"/>
            <w:vAlign w:val="center"/>
          </w:tcPr>
          <w:p w14:paraId="7EFEB973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</w:tr>
      <w:tr w:rsidR="002B2828" w:rsidRPr="00732274" w14:paraId="2350A1F6" w14:textId="77777777" w:rsidTr="6B1CD811">
        <w:trPr>
          <w:trHeight w:val="949"/>
          <w:jc w:val="center"/>
        </w:trPr>
        <w:tc>
          <w:tcPr>
            <w:tcW w:w="1050" w:type="dxa"/>
            <w:vMerge/>
            <w:vAlign w:val="center"/>
          </w:tcPr>
          <w:p w14:paraId="3B7336BA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E0754F0" w14:textId="24BAC8A2" w:rsidR="002B2828" w:rsidRPr="00732274" w:rsidRDefault="00C01280" w:rsidP="00C42070">
            <w:pPr>
              <w:jc w:val="center"/>
              <w:rPr>
                <w:b/>
                <w:bCs/>
                <w:color w:val="910D28" w:themeColor="accent1"/>
              </w:rPr>
            </w:pPr>
            <w:r>
              <w:rPr>
                <w:b/>
                <w:bCs/>
                <w:color w:val="910D28" w:themeColor="accent1"/>
              </w:rPr>
              <w:t>Electron</w:t>
            </w:r>
          </w:p>
        </w:tc>
        <w:tc>
          <w:tcPr>
            <w:tcW w:w="2464" w:type="dxa"/>
            <w:vAlign w:val="center"/>
          </w:tcPr>
          <w:p w14:paraId="0A524D16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  <w:tc>
          <w:tcPr>
            <w:tcW w:w="2463" w:type="dxa"/>
            <w:vAlign w:val="center"/>
          </w:tcPr>
          <w:p w14:paraId="12640CED" w14:textId="77777777" w:rsidR="002B2828" w:rsidRPr="00732274" w:rsidRDefault="002B2828" w:rsidP="00C42070">
            <w:pPr>
              <w:jc w:val="center"/>
              <w:rPr>
                <w:b/>
                <w:bCs/>
                <w:color w:val="910D28" w:themeColor="accent1"/>
              </w:rPr>
            </w:pPr>
          </w:p>
        </w:tc>
      </w:tr>
    </w:tbl>
    <w:p w14:paraId="2587FB2A" w14:textId="77777777" w:rsidR="00D87FC1" w:rsidRDefault="00D87FC1" w:rsidP="00D87FC1">
      <w:pPr>
        <w:pStyle w:val="BodyText"/>
      </w:pPr>
    </w:p>
    <w:p w14:paraId="5DABB162" w14:textId="77021261" w:rsidR="002B2828" w:rsidRPr="002B2828" w:rsidRDefault="002B2828" w:rsidP="00A57742">
      <w:pPr>
        <w:pStyle w:val="BodyText"/>
        <w:numPr>
          <w:ilvl w:val="0"/>
          <w:numId w:val="17"/>
        </w:numPr>
      </w:pPr>
      <w:r w:rsidRPr="002B2828">
        <w:t>Why do you think your prediction is correct? What data did you rely on and adapt for your prediction?</w:t>
      </w:r>
    </w:p>
    <w:p w14:paraId="1EC0D9D1" w14:textId="25302597" w:rsidR="002B2828" w:rsidRDefault="002B2828" w:rsidP="002B2828">
      <w:pPr>
        <w:pStyle w:val="BodyText"/>
      </w:pPr>
    </w:p>
    <w:p w14:paraId="431EE4F3" w14:textId="77777777" w:rsidR="00A57742" w:rsidRDefault="00A57742" w:rsidP="002B2828">
      <w:pPr>
        <w:pStyle w:val="BodyText"/>
      </w:pPr>
    </w:p>
    <w:p w14:paraId="5EC4BF5B" w14:textId="77777777" w:rsidR="00A57742" w:rsidRPr="002B2828" w:rsidRDefault="00A57742" w:rsidP="002B2828">
      <w:pPr>
        <w:pStyle w:val="BodyText"/>
      </w:pPr>
    </w:p>
    <w:p w14:paraId="6770D8E7" w14:textId="644B4655" w:rsidR="002B2828" w:rsidRDefault="002B2828" w:rsidP="00A57742">
      <w:pPr>
        <w:pStyle w:val="BodyText"/>
        <w:numPr>
          <w:ilvl w:val="0"/>
          <w:numId w:val="17"/>
        </w:numPr>
      </w:pPr>
      <w:r w:rsidRPr="002B2828">
        <w:t>Why were neutrons not included in the table?</w:t>
      </w:r>
    </w:p>
    <w:p w14:paraId="0CF28963" w14:textId="4F8D400E" w:rsidR="00A57742" w:rsidRDefault="00A57742" w:rsidP="00A57742">
      <w:pPr>
        <w:pStyle w:val="BodyText"/>
      </w:pPr>
    </w:p>
    <w:p w14:paraId="78DF2F8D" w14:textId="77777777" w:rsidR="00A57742" w:rsidRPr="002B2828" w:rsidRDefault="00A57742" w:rsidP="00A57742">
      <w:pPr>
        <w:pStyle w:val="BodyText"/>
      </w:pPr>
    </w:p>
    <w:p w14:paraId="2FA98196" w14:textId="77777777" w:rsidR="002B2828" w:rsidRPr="002B2828" w:rsidRDefault="002B2828" w:rsidP="002B2828">
      <w:pPr>
        <w:pStyle w:val="BodyText"/>
      </w:pPr>
    </w:p>
    <w:p w14:paraId="0437E651" w14:textId="77777777" w:rsidR="00D87FC1" w:rsidRDefault="00D87FC1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7532DA5B" w14:textId="10AE27C2" w:rsidR="002B2828" w:rsidRDefault="002B2828" w:rsidP="002B2828">
      <w:pPr>
        <w:pStyle w:val="Heading1"/>
      </w:pPr>
      <w:r w:rsidRPr="002B2828">
        <w:lastRenderedPageBreak/>
        <w:t>Part 5: The Atom</w:t>
      </w:r>
    </w:p>
    <w:p w14:paraId="655C1BB2" w14:textId="4DD6D329" w:rsidR="002B2828" w:rsidRPr="002B2828" w:rsidRDefault="002B2828" w:rsidP="002B2828">
      <w:r w:rsidRPr="002B2828">
        <w:t xml:space="preserve">Read </w:t>
      </w:r>
      <w:r w:rsidR="00A57742">
        <w:t>the following paragraph:</w:t>
      </w:r>
    </w:p>
    <w:p w14:paraId="199F6757" w14:textId="2A6C3305" w:rsidR="002B2828" w:rsidRPr="002B2828" w:rsidRDefault="002B2828" w:rsidP="002B2828">
      <w:pPr>
        <w:rPr>
          <w:i/>
          <w:iCs/>
          <w:color w:val="808080" w:themeColor="background1" w:themeShade="80"/>
        </w:rPr>
      </w:pPr>
      <w:r w:rsidRPr="002B2828">
        <w:rPr>
          <w:i/>
          <w:iCs/>
          <w:color w:val="808080" w:themeColor="background1" w:themeShade="80"/>
        </w:rPr>
        <w:t>The three sub-atomic particles–protons, neutrons, and electrons–together make the atom. Protons are in the center. Neutrons are also in the center</w:t>
      </w:r>
      <w:r w:rsidR="00A57742" w:rsidRPr="00A57742">
        <w:rPr>
          <w:i/>
          <w:iCs/>
          <w:color w:val="808080" w:themeColor="background1" w:themeShade="80"/>
        </w:rPr>
        <w:t>. S</w:t>
      </w:r>
      <w:r w:rsidRPr="002B2828">
        <w:rPr>
          <w:i/>
          <w:iCs/>
          <w:color w:val="808080" w:themeColor="background1" w:themeShade="80"/>
        </w:rPr>
        <w:t>cientists speculate</w:t>
      </w:r>
      <w:r w:rsidR="00A57742" w:rsidRPr="00A57742">
        <w:rPr>
          <w:i/>
          <w:iCs/>
          <w:color w:val="808080" w:themeColor="background1" w:themeShade="80"/>
        </w:rPr>
        <w:t xml:space="preserve"> that this is</w:t>
      </w:r>
      <w:r w:rsidRPr="002B2828">
        <w:rPr>
          <w:i/>
          <w:iCs/>
          <w:color w:val="808080" w:themeColor="background1" w:themeShade="80"/>
        </w:rPr>
        <w:t xml:space="preserve"> to provide stability against the </w:t>
      </w:r>
      <w:r w:rsidR="00A57742" w:rsidRPr="00A57742">
        <w:rPr>
          <w:i/>
          <w:iCs/>
          <w:color w:val="808080" w:themeColor="background1" w:themeShade="80"/>
        </w:rPr>
        <w:t xml:space="preserve">close </w:t>
      </w:r>
      <w:r w:rsidRPr="002B2828">
        <w:rPr>
          <w:i/>
          <w:iCs/>
          <w:color w:val="808080" w:themeColor="background1" w:themeShade="80"/>
        </w:rPr>
        <w:t>positive charges repelling each other. Together</w:t>
      </w:r>
      <w:r w:rsidR="00A57742" w:rsidRPr="00A57742">
        <w:rPr>
          <w:i/>
          <w:iCs/>
          <w:color w:val="808080" w:themeColor="background1" w:themeShade="80"/>
        </w:rPr>
        <w:t>, protons and neutrons</w:t>
      </w:r>
      <w:r w:rsidRPr="002B2828">
        <w:rPr>
          <w:i/>
          <w:iCs/>
          <w:color w:val="808080" w:themeColor="background1" w:themeShade="80"/>
        </w:rPr>
        <w:t xml:space="preserve"> make the nucleus. Electrons swirl around the nucleus, </w:t>
      </w:r>
      <w:r w:rsidR="00A57742" w:rsidRPr="00A57742">
        <w:rPr>
          <w:i/>
          <w:iCs/>
          <w:color w:val="808080" w:themeColor="background1" w:themeShade="80"/>
        </w:rPr>
        <w:t xml:space="preserve">forming </w:t>
      </w:r>
      <w:r w:rsidRPr="002B2828">
        <w:rPr>
          <w:i/>
          <w:iCs/>
          <w:color w:val="808080" w:themeColor="background1" w:themeShade="80"/>
        </w:rPr>
        <w:t>electron clouds</w:t>
      </w:r>
      <w:r w:rsidR="00A57742" w:rsidRPr="00A57742">
        <w:rPr>
          <w:i/>
          <w:iCs/>
          <w:color w:val="808080" w:themeColor="background1" w:themeShade="80"/>
        </w:rPr>
        <w:t>. Electrons</w:t>
      </w:r>
      <w:r w:rsidRPr="002B2828">
        <w:rPr>
          <w:i/>
          <w:iCs/>
          <w:color w:val="808080" w:themeColor="background1" w:themeShade="80"/>
        </w:rPr>
        <w:t xml:space="preserve"> are constantly attracted to the nucleus but repelled by the other electrons.</w:t>
      </w:r>
    </w:p>
    <w:p w14:paraId="134C28C2" w14:textId="3D5728D6" w:rsidR="002B2828" w:rsidRPr="002B2828" w:rsidRDefault="002B2828" w:rsidP="002B2828">
      <w:r w:rsidRPr="002B2828">
        <w:t xml:space="preserve">Do your data and predictions align with the </w:t>
      </w:r>
      <w:r w:rsidR="00A57742">
        <w:t>information</w:t>
      </w:r>
      <w:r w:rsidRPr="002B2828">
        <w:t xml:space="preserve"> you just read?</w:t>
      </w:r>
    </w:p>
    <w:p w14:paraId="6BC45E22" w14:textId="50027441" w:rsidR="002B2828" w:rsidRDefault="002B2828" w:rsidP="002B2828"/>
    <w:p w14:paraId="0932B5E9" w14:textId="77777777" w:rsidR="00D87FC1" w:rsidRPr="00D87FC1" w:rsidRDefault="00D87FC1" w:rsidP="00D87FC1">
      <w:pPr>
        <w:pStyle w:val="BodyText"/>
      </w:pPr>
    </w:p>
    <w:p w14:paraId="4079F9F2" w14:textId="77777777" w:rsidR="00A57742" w:rsidRPr="002B2828" w:rsidRDefault="00A57742" w:rsidP="00A57742">
      <w:pPr>
        <w:pStyle w:val="BodyText"/>
      </w:pPr>
    </w:p>
    <w:p w14:paraId="693A18E4" w14:textId="38A96B8F" w:rsidR="00D87FC1" w:rsidRDefault="00191E81" w:rsidP="00D87FC1">
      <w:r>
        <w:t>Using the</w:t>
      </w:r>
      <w:r w:rsidR="002B2828" w:rsidRPr="002B2828">
        <w:t xml:space="preserve"> information you have learned, label the diagram</w:t>
      </w:r>
      <w:r w:rsidR="00D87FC1">
        <w:t xml:space="preserve"> below</w:t>
      </w:r>
      <w:r w:rsidR="002B2828" w:rsidRPr="002B2828">
        <w:t>:</w:t>
      </w:r>
    </w:p>
    <w:p w14:paraId="121690FE" w14:textId="77777777" w:rsidR="00D87FC1" w:rsidRPr="00D87FC1" w:rsidRDefault="00D87FC1" w:rsidP="00D87FC1">
      <w:pPr>
        <w:pStyle w:val="BodyText"/>
      </w:pPr>
    </w:p>
    <w:p w14:paraId="58F83DFC" w14:textId="0FC456E0" w:rsidR="002B2828" w:rsidRPr="002B2828" w:rsidRDefault="350ACC6E" w:rsidP="00191E81">
      <w:pPr>
        <w:jc w:val="center"/>
      </w:pPr>
      <w:r>
        <w:rPr>
          <w:noProof/>
        </w:rPr>
        <w:drawing>
          <wp:inline distT="0" distB="0" distL="0" distR="0" wp14:anchorId="69532381" wp14:editId="3D2F8559">
            <wp:extent cx="4572000" cy="4572000"/>
            <wp:effectExtent l="0" t="0" r="0" b="0"/>
            <wp:docPr id="1140796922" name="Picture 1140796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7969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1FA1" w14:textId="02BBA79C" w:rsidR="002B2828" w:rsidRDefault="002B2828" w:rsidP="00D87FC1">
      <w:pPr>
        <w:pStyle w:val="Heading1"/>
        <w:ind w:left="0"/>
      </w:pPr>
      <w:r w:rsidRPr="002B2828">
        <w:lastRenderedPageBreak/>
        <w:t xml:space="preserve">Part 6: Atoms of </w:t>
      </w:r>
      <w:r w:rsidR="00E629DE">
        <w:t>D</w:t>
      </w:r>
      <w:r w:rsidRPr="002B2828">
        <w:t xml:space="preserve">ifferent </w:t>
      </w:r>
      <w:r w:rsidR="00E629DE">
        <w:t>E</w:t>
      </w:r>
      <w:r w:rsidRPr="002B2828">
        <w:t>lements</w:t>
      </w:r>
    </w:p>
    <w:p w14:paraId="0B984525" w14:textId="4C82DF50" w:rsidR="002B2828" w:rsidRPr="002B2828" w:rsidRDefault="002B2828" w:rsidP="00191E81">
      <w:r w:rsidRPr="002B2828">
        <w:t>Go to</w:t>
      </w:r>
      <w:r w:rsidR="00191E81">
        <w:t xml:space="preserve"> the PhET Atom Builder at</w:t>
      </w:r>
      <w:r w:rsidRPr="002B2828">
        <w:t xml:space="preserve"> </w:t>
      </w:r>
      <w:hyperlink r:id="rId9">
        <w:r w:rsidRPr="002B2828">
          <w:rPr>
            <w:rStyle w:val="Hyperlink"/>
          </w:rPr>
          <w:t>https://tinyurl.com/preucs2</w:t>
        </w:r>
      </w:hyperlink>
      <w:r w:rsidR="00191E81">
        <w:t>.</w:t>
      </w:r>
    </w:p>
    <w:p w14:paraId="02EE533C" w14:textId="77777777" w:rsidR="00191E81" w:rsidRDefault="00191E81" w:rsidP="00191E81">
      <w:pPr>
        <w:pStyle w:val="ListParagraph"/>
        <w:numPr>
          <w:ilvl w:val="0"/>
          <w:numId w:val="12"/>
        </w:numPr>
      </w:pPr>
      <w:r>
        <w:t>Select “Atom.”</w:t>
      </w:r>
    </w:p>
    <w:p w14:paraId="0BFBE47D" w14:textId="73893489" w:rsidR="00191E81" w:rsidRDefault="00191E81" w:rsidP="00191E81">
      <w:pPr>
        <w:pStyle w:val="ListParagraph"/>
        <w:numPr>
          <w:ilvl w:val="0"/>
          <w:numId w:val="12"/>
        </w:numPr>
      </w:pPr>
      <w:r>
        <w:t>At the bottom, ma</w:t>
      </w:r>
      <w:r w:rsidR="00D87FC1">
        <w:t>ke</w:t>
      </w:r>
      <w:r>
        <w:t xml:space="preserve"> sure the “Stable/Unstable” box is checked.</w:t>
      </w:r>
    </w:p>
    <w:p w14:paraId="59795206" w14:textId="77777777" w:rsidR="00191E81" w:rsidRDefault="00191E81" w:rsidP="00191E81">
      <w:pPr>
        <w:pStyle w:val="ListParagraph"/>
        <w:numPr>
          <w:ilvl w:val="0"/>
          <w:numId w:val="12"/>
        </w:numPr>
      </w:pPr>
      <w:r>
        <w:t>Also make sure the “Mass Number” and “Net Charge” drop-downs are expanded.</w:t>
      </w:r>
    </w:p>
    <w:p w14:paraId="61533327" w14:textId="77777777" w:rsidR="002B2828" w:rsidRPr="002B2828" w:rsidRDefault="002B2828" w:rsidP="002B2828">
      <w:r w:rsidRPr="002B2828">
        <w:t>Now that all options are selected, drag protons, neutrons, and electrons to the atom. Keep an eye out for patterns and answer the following questions:</w:t>
      </w:r>
    </w:p>
    <w:p w14:paraId="4FDE3BDB" w14:textId="5C05ABAE" w:rsidR="002B2828" w:rsidRPr="002B2828" w:rsidRDefault="002B2828" w:rsidP="00191E81">
      <w:pPr>
        <w:pStyle w:val="ListParagraph"/>
        <w:numPr>
          <w:ilvl w:val="0"/>
          <w:numId w:val="18"/>
        </w:numPr>
      </w:pPr>
      <w:r w:rsidRPr="002B2828">
        <w:t>Which subatomic particle defines what element the atom is?</w:t>
      </w:r>
    </w:p>
    <w:p w14:paraId="1BAB0E7D" w14:textId="22C1EFE5" w:rsidR="002B2828" w:rsidRDefault="002B2828" w:rsidP="002B2828"/>
    <w:p w14:paraId="051CE6F5" w14:textId="77777777" w:rsidR="00191E81" w:rsidRPr="002B2828" w:rsidRDefault="00191E81" w:rsidP="00191E81">
      <w:pPr>
        <w:pStyle w:val="BodyText"/>
      </w:pPr>
    </w:p>
    <w:p w14:paraId="0C57814B" w14:textId="60982C58" w:rsidR="002B2828" w:rsidRPr="002B2828" w:rsidRDefault="002B2828" w:rsidP="00191E81">
      <w:pPr>
        <w:pStyle w:val="ListParagraph"/>
        <w:numPr>
          <w:ilvl w:val="0"/>
          <w:numId w:val="18"/>
        </w:numPr>
      </w:pPr>
      <w:r w:rsidRPr="002B2828">
        <w:t>Which subatomic particle provides stability to the nucleus?</w:t>
      </w:r>
    </w:p>
    <w:p w14:paraId="1407D059" w14:textId="40D4F269" w:rsidR="002B2828" w:rsidRDefault="002B2828" w:rsidP="002B2828"/>
    <w:p w14:paraId="446482D5" w14:textId="77777777" w:rsidR="00191E81" w:rsidRPr="002B2828" w:rsidRDefault="00191E81" w:rsidP="00191E81">
      <w:pPr>
        <w:pStyle w:val="BodyText"/>
      </w:pPr>
    </w:p>
    <w:p w14:paraId="0AD09F5B" w14:textId="54F94DB7" w:rsidR="002B2828" w:rsidRPr="002B2828" w:rsidRDefault="002B2828" w:rsidP="00191E81">
      <w:pPr>
        <w:pStyle w:val="ListParagraph"/>
        <w:numPr>
          <w:ilvl w:val="0"/>
          <w:numId w:val="18"/>
        </w:numPr>
      </w:pPr>
      <w:r w:rsidRPr="002B2828">
        <w:t>What proton</w:t>
      </w:r>
      <w:r w:rsidR="00191E81">
        <w:t>-to-</w:t>
      </w:r>
      <w:r w:rsidRPr="002B2828">
        <w:t>neutron ratio generally (but not always) provides the best stability?</w:t>
      </w:r>
    </w:p>
    <w:p w14:paraId="007E224E" w14:textId="5EFBF34E" w:rsidR="002B2828" w:rsidRDefault="002B2828" w:rsidP="002B2828"/>
    <w:p w14:paraId="02B1CD95" w14:textId="77777777" w:rsidR="00191E81" w:rsidRPr="002B2828" w:rsidRDefault="00191E81" w:rsidP="00191E81">
      <w:pPr>
        <w:pStyle w:val="BodyText"/>
      </w:pPr>
    </w:p>
    <w:p w14:paraId="01F6BF50" w14:textId="77777777" w:rsidR="002B2828" w:rsidRPr="002B2828" w:rsidRDefault="002B2828" w:rsidP="00E629DE">
      <w:pPr>
        <w:pStyle w:val="Heading2"/>
        <w:numPr>
          <w:ilvl w:val="0"/>
          <w:numId w:val="19"/>
        </w:numPr>
      </w:pPr>
      <w:r w:rsidRPr="002B2828">
        <w:t xml:space="preserve">Any atom with a net charge of zero is called </w:t>
      </w:r>
      <w:r w:rsidRPr="002B2828">
        <w:rPr>
          <w:b/>
          <w:bCs/>
        </w:rPr>
        <w:t>neutral</w:t>
      </w:r>
      <w:r w:rsidRPr="002B2828">
        <w:t xml:space="preserve">. </w:t>
      </w:r>
    </w:p>
    <w:p w14:paraId="721623A5" w14:textId="77777777" w:rsidR="002B2828" w:rsidRPr="002B2828" w:rsidRDefault="002B2828" w:rsidP="00E629DE">
      <w:pPr>
        <w:pStyle w:val="Heading2"/>
        <w:numPr>
          <w:ilvl w:val="0"/>
          <w:numId w:val="19"/>
        </w:numPr>
      </w:pPr>
      <w:r w:rsidRPr="002B2828">
        <w:t xml:space="preserve">Any atom with a net charge other than zero is called an </w:t>
      </w:r>
      <w:r w:rsidRPr="002B2828">
        <w:rPr>
          <w:b/>
          <w:bCs/>
        </w:rPr>
        <w:t>ion</w:t>
      </w:r>
      <w:r w:rsidRPr="002B2828">
        <w:t>.</w:t>
      </w:r>
    </w:p>
    <w:p w14:paraId="540240C9" w14:textId="77777777" w:rsidR="00E629DE" w:rsidRDefault="00E629DE" w:rsidP="002B2828"/>
    <w:p w14:paraId="5662767F" w14:textId="1D54A9C9" w:rsidR="002B2828" w:rsidRPr="002B2828" w:rsidRDefault="002B2828" w:rsidP="004E1CAB">
      <w:pPr>
        <w:pStyle w:val="ListParagraph"/>
        <w:numPr>
          <w:ilvl w:val="0"/>
          <w:numId w:val="20"/>
        </w:numPr>
      </w:pPr>
      <w:r w:rsidRPr="002B2828">
        <w:t>How is net charge calculated?</w:t>
      </w:r>
    </w:p>
    <w:p w14:paraId="1A68D9E7" w14:textId="3B4B6BDF" w:rsidR="002B2828" w:rsidRDefault="002B2828" w:rsidP="002B2828"/>
    <w:p w14:paraId="57761563" w14:textId="77777777" w:rsidR="00E629DE" w:rsidRPr="002B2828" w:rsidRDefault="00E629DE" w:rsidP="00E629DE">
      <w:pPr>
        <w:pStyle w:val="BodyText"/>
      </w:pPr>
    </w:p>
    <w:p w14:paraId="437C3EBF" w14:textId="71106737" w:rsidR="002B2828" w:rsidRPr="002B2828" w:rsidRDefault="002B2828" w:rsidP="004E1CAB">
      <w:pPr>
        <w:pStyle w:val="ListParagraph"/>
        <w:numPr>
          <w:ilvl w:val="0"/>
          <w:numId w:val="20"/>
        </w:numPr>
      </w:pPr>
      <w:r w:rsidRPr="002B2828">
        <w:t>Which subatomic particles controls the net charge?</w:t>
      </w:r>
    </w:p>
    <w:p w14:paraId="107FF856" w14:textId="0037624E" w:rsidR="002B2828" w:rsidRDefault="002B2828" w:rsidP="002B2828"/>
    <w:p w14:paraId="67C2E801" w14:textId="77777777" w:rsidR="00E629DE" w:rsidRPr="002B2828" w:rsidRDefault="00E629DE" w:rsidP="00E629DE">
      <w:pPr>
        <w:pStyle w:val="BodyText"/>
      </w:pPr>
    </w:p>
    <w:p w14:paraId="1866B1A5" w14:textId="7C5D66F5" w:rsidR="002B2828" w:rsidRPr="002B2828" w:rsidRDefault="00E629DE" w:rsidP="004E1CAB">
      <w:pPr>
        <w:pStyle w:val="ListParagraph"/>
        <w:numPr>
          <w:ilvl w:val="0"/>
          <w:numId w:val="20"/>
        </w:numPr>
      </w:pPr>
      <w:r>
        <w:t>Which</w:t>
      </w:r>
      <w:r w:rsidR="002B2828" w:rsidRPr="002B2828">
        <w:t xml:space="preserve"> subatomic particle changes the charge but doesn’t change the element?</w:t>
      </w:r>
    </w:p>
    <w:p w14:paraId="54389E49" w14:textId="77777777" w:rsidR="002B2828" w:rsidRPr="002B2828" w:rsidRDefault="002B2828" w:rsidP="002B2828"/>
    <w:p w14:paraId="3B672D08" w14:textId="77777777" w:rsidR="00E629DE" w:rsidRDefault="00E629DE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17E8B99C" w14:textId="757C44C5" w:rsidR="002B2828" w:rsidRPr="002B2828" w:rsidRDefault="002B2828" w:rsidP="002B2828">
      <w:pPr>
        <w:pStyle w:val="Heading1"/>
      </w:pPr>
      <w:r w:rsidRPr="002B2828">
        <w:lastRenderedPageBreak/>
        <w:t>Part 7: Synthesis of Knowledge</w:t>
      </w:r>
    </w:p>
    <w:p w14:paraId="635CCA38" w14:textId="62FEDDB5" w:rsidR="002B2828" w:rsidRPr="002B2828" w:rsidRDefault="002B2828" w:rsidP="002B2828">
      <w:pPr>
        <w:pStyle w:val="BodyText"/>
      </w:pPr>
      <w:r w:rsidRPr="002B2828">
        <w:t xml:space="preserve">Based on everything you have learned, write a plan for how you </w:t>
      </w:r>
      <w:r w:rsidR="00E629DE">
        <w:t>can</w:t>
      </w:r>
      <w:r w:rsidRPr="002B2828">
        <w:t xml:space="preserve"> classify an atom </w:t>
      </w:r>
      <w:r w:rsidR="00E629DE">
        <w:t>based on its composition of protons, neutrons, and electrons to determine</w:t>
      </w:r>
      <w:r w:rsidRPr="002B2828">
        <w:t xml:space="preserve"> 1) </w:t>
      </w:r>
      <w:r w:rsidR="00E629DE">
        <w:t xml:space="preserve">its </w:t>
      </w:r>
      <w:r w:rsidRPr="002B2828">
        <w:t>element</w:t>
      </w:r>
      <w:r w:rsidR="00E629DE">
        <w:t>,</w:t>
      </w:r>
      <w:r w:rsidRPr="002B2828">
        <w:t xml:space="preserve"> and 2) </w:t>
      </w:r>
      <w:r w:rsidR="00E629DE">
        <w:t xml:space="preserve">its </w:t>
      </w:r>
      <w:r w:rsidRPr="002B2828">
        <w:t>charge status.</w:t>
      </w:r>
    </w:p>
    <w:p w14:paraId="2E04AB1A" w14:textId="77777777" w:rsidR="00732274" w:rsidRDefault="00732274" w:rsidP="001B2D67">
      <w:pPr>
        <w:pStyle w:val="BodyText"/>
      </w:pPr>
    </w:p>
    <w:sectPr w:rsidR="00732274" w:rsidSect="00FA7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9604" w14:textId="77777777" w:rsidR="001B2D67" w:rsidRDefault="001B2D67" w:rsidP="00293785">
      <w:pPr>
        <w:spacing w:after="0" w:line="240" w:lineRule="auto"/>
      </w:pPr>
      <w:r>
        <w:separator/>
      </w:r>
    </w:p>
  </w:endnote>
  <w:endnote w:type="continuationSeparator" w:id="0">
    <w:p w14:paraId="737FAFA1" w14:textId="77777777" w:rsidR="001B2D67" w:rsidRDefault="001B2D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1522" w14:textId="77777777" w:rsidR="00FA766C" w:rsidRDefault="00FA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4D53" w14:textId="3E1FAABD" w:rsidR="00293785" w:rsidRDefault="00EB0725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5FE5F5B1" wp14:editId="6E740E52">
          <wp:simplePos x="0" y="0"/>
          <wp:positionH relativeFrom="column">
            <wp:posOffset>5677535</wp:posOffset>
          </wp:positionH>
          <wp:positionV relativeFrom="page">
            <wp:posOffset>9425940</wp:posOffset>
          </wp:positionV>
          <wp:extent cx="474980" cy="429260"/>
          <wp:effectExtent l="0" t="0" r="0" b="2540"/>
          <wp:wrapThrough wrapText="bothSides">
            <wp:wrapPolygon edited="0">
              <wp:start x="6353" y="0"/>
              <wp:lineTo x="3465" y="1278"/>
              <wp:lineTo x="0" y="7030"/>
              <wp:lineTo x="0" y="12781"/>
              <wp:lineTo x="3465" y="20450"/>
              <wp:lineTo x="6353" y="21089"/>
              <wp:lineTo x="14439" y="21089"/>
              <wp:lineTo x="17904" y="20450"/>
              <wp:lineTo x="20791" y="14059"/>
              <wp:lineTo x="20791" y="7030"/>
              <wp:lineTo x="18481" y="2556"/>
              <wp:lineTo x="15016" y="0"/>
              <wp:lineTo x="6353" y="0"/>
            </wp:wrapPolygon>
          </wp:wrapThrough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C96FD" wp14:editId="7AD0E7C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800FF" w14:textId="258B3A96" w:rsidR="00293785" w:rsidRDefault="000A54D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8476F213725495DA60623B1B556A7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6CCC">
                                <w:t>Love and Hate in Particles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C96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4800FF" w14:textId="258B3A96" w:rsidR="00293785" w:rsidRDefault="000A54D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8476F213725495DA60623B1B556A7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16CCC">
                          <w:t>Love and Hate in Particles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0BB3CB" wp14:editId="71FD3E3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49E5" w14:textId="77777777" w:rsidR="00FA766C" w:rsidRDefault="00FA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F705" w14:textId="77777777" w:rsidR="001B2D67" w:rsidRDefault="001B2D67" w:rsidP="00293785">
      <w:pPr>
        <w:spacing w:after="0" w:line="240" w:lineRule="auto"/>
      </w:pPr>
      <w:r>
        <w:separator/>
      </w:r>
    </w:p>
  </w:footnote>
  <w:footnote w:type="continuationSeparator" w:id="0">
    <w:p w14:paraId="70C1B68B" w14:textId="77777777" w:rsidR="001B2D67" w:rsidRDefault="001B2D6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8AA9" w14:textId="77777777" w:rsidR="0080544E" w:rsidRDefault="00805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272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04139" w14:textId="7EBF550A" w:rsidR="00C16CCC" w:rsidRDefault="00C16C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81ADD" w14:textId="77777777" w:rsidR="00C16CCC" w:rsidRDefault="00C1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E957" w14:textId="77777777" w:rsidR="0080544E" w:rsidRDefault="00805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DFF"/>
    <w:multiLevelType w:val="hybridMultilevel"/>
    <w:tmpl w:val="DC426EDE"/>
    <w:lvl w:ilvl="0" w:tplc="835A7A6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16C9D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A0C30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7DC518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7DC3B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C4CA4D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0281F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2F45F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ACC8EE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F0AC1"/>
    <w:multiLevelType w:val="hybridMultilevel"/>
    <w:tmpl w:val="A1F8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6264"/>
    <w:multiLevelType w:val="hybridMultilevel"/>
    <w:tmpl w:val="C3F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2F36"/>
    <w:multiLevelType w:val="hybridMultilevel"/>
    <w:tmpl w:val="BD2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89E"/>
    <w:multiLevelType w:val="hybridMultilevel"/>
    <w:tmpl w:val="3F4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4BA6"/>
    <w:multiLevelType w:val="hybridMultilevel"/>
    <w:tmpl w:val="B126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85F6F"/>
    <w:multiLevelType w:val="multilevel"/>
    <w:tmpl w:val="EE1AD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83D0B"/>
    <w:multiLevelType w:val="hybridMultilevel"/>
    <w:tmpl w:val="FF1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43AC0"/>
    <w:multiLevelType w:val="hybridMultilevel"/>
    <w:tmpl w:val="3502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5252A"/>
    <w:multiLevelType w:val="multilevel"/>
    <w:tmpl w:val="F64C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20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14"/>
  </w:num>
  <w:num w:numId="18">
    <w:abstractNumId w:val="19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67"/>
    <w:rsid w:val="0004006F"/>
    <w:rsid w:val="00053775"/>
    <w:rsid w:val="0005619A"/>
    <w:rsid w:val="000C1FDF"/>
    <w:rsid w:val="0011259B"/>
    <w:rsid w:val="00116FDD"/>
    <w:rsid w:val="00125621"/>
    <w:rsid w:val="00191E81"/>
    <w:rsid w:val="001B2D67"/>
    <w:rsid w:val="001D0BBF"/>
    <w:rsid w:val="001E1F85"/>
    <w:rsid w:val="001F125D"/>
    <w:rsid w:val="002345CC"/>
    <w:rsid w:val="00293785"/>
    <w:rsid w:val="002B08A8"/>
    <w:rsid w:val="002B2828"/>
    <w:rsid w:val="002C0879"/>
    <w:rsid w:val="002C37B4"/>
    <w:rsid w:val="0036040A"/>
    <w:rsid w:val="00446C13"/>
    <w:rsid w:val="004E1CAB"/>
    <w:rsid w:val="005078B4"/>
    <w:rsid w:val="0053328A"/>
    <w:rsid w:val="00540FC6"/>
    <w:rsid w:val="00544CE7"/>
    <w:rsid w:val="005511B6"/>
    <w:rsid w:val="00553C98"/>
    <w:rsid w:val="005A3D3C"/>
    <w:rsid w:val="00645D7F"/>
    <w:rsid w:val="00656940"/>
    <w:rsid w:val="00665274"/>
    <w:rsid w:val="00666C03"/>
    <w:rsid w:val="00686DAB"/>
    <w:rsid w:val="006D2700"/>
    <w:rsid w:val="006E1542"/>
    <w:rsid w:val="00721EA4"/>
    <w:rsid w:val="00732274"/>
    <w:rsid w:val="007B055F"/>
    <w:rsid w:val="007E6F1D"/>
    <w:rsid w:val="0080544E"/>
    <w:rsid w:val="00880013"/>
    <w:rsid w:val="008920A4"/>
    <w:rsid w:val="008D6DA1"/>
    <w:rsid w:val="008F5386"/>
    <w:rsid w:val="00913172"/>
    <w:rsid w:val="00932586"/>
    <w:rsid w:val="00981E19"/>
    <w:rsid w:val="009B52E4"/>
    <w:rsid w:val="009D6E8D"/>
    <w:rsid w:val="00A03A15"/>
    <w:rsid w:val="00A101E8"/>
    <w:rsid w:val="00A57742"/>
    <w:rsid w:val="00AC349E"/>
    <w:rsid w:val="00B452DB"/>
    <w:rsid w:val="00B92DBF"/>
    <w:rsid w:val="00BD119F"/>
    <w:rsid w:val="00C0049F"/>
    <w:rsid w:val="00C01280"/>
    <w:rsid w:val="00C16CCC"/>
    <w:rsid w:val="00C73EA1"/>
    <w:rsid w:val="00C8524A"/>
    <w:rsid w:val="00CC4F77"/>
    <w:rsid w:val="00CD3CF6"/>
    <w:rsid w:val="00CE336D"/>
    <w:rsid w:val="00D106FF"/>
    <w:rsid w:val="00D21FF0"/>
    <w:rsid w:val="00D626EB"/>
    <w:rsid w:val="00D87FC1"/>
    <w:rsid w:val="00DC7A6D"/>
    <w:rsid w:val="00E629DE"/>
    <w:rsid w:val="00EB0725"/>
    <w:rsid w:val="00ED24C8"/>
    <w:rsid w:val="00F27951"/>
    <w:rsid w:val="00F377E2"/>
    <w:rsid w:val="00F50748"/>
    <w:rsid w:val="00F72D02"/>
    <w:rsid w:val="00FA766C"/>
    <w:rsid w:val="0FEF510C"/>
    <w:rsid w:val="350ACC6E"/>
    <w:rsid w:val="412788CA"/>
    <w:rsid w:val="6B1CD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F4763E"/>
  <w15:docId w15:val="{816C7732-E0D7-4D3C-B987-1BD248B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2828"/>
    <w:pPr>
      <w:keepNext/>
      <w:keepLines/>
      <w:spacing w:before="200"/>
      <w:ind w:left="113" w:right="113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2828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preucs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476F213725495DA60623B1B556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D194-A321-40FF-8614-FB35FF34B724}"/>
      </w:docPartPr>
      <w:docPartBody>
        <w:p w:rsidR="00F27951" w:rsidRDefault="00F27951">
          <w:pPr>
            <w:pStyle w:val="88476F213725495DA60623B1B556A7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51"/>
    <w:rsid w:val="00F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476F213725495DA60623B1B556A767">
    <w:name w:val="88476F213725495DA60623B1B556A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11</TotalTime>
  <Pages>7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and Hate in Particles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and Hate in Particles</dc:title>
  <dc:creator>K20Center@groups.ou.edu</dc:creator>
  <cp:lastModifiedBy>Taylor Thurston</cp:lastModifiedBy>
  <cp:revision>4</cp:revision>
  <cp:lastPrinted>2016-07-14T14:08:00Z</cp:lastPrinted>
  <dcterms:created xsi:type="dcterms:W3CDTF">2020-11-17T19:05:00Z</dcterms:created>
  <dcterms:modified xsi:type="dcterms:W3CDTF">2020-11-17T22:08:00Z</dcterms:modified>
</cp:coreProperties>
</file>