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839D" w14:textId="77777777" w:rsidR="00000000" w:rsidRDefault="00D27547">
      <w:r>
        <w:rPr>
          <w:noProof/>
        </w:rPr>
        <w:drawing>
          <wp:inline distT="0" distB="0" distL="0" distR="0" wp14:anchorId="45794FF2" wp14:editId="59FCE3B5">
            <wp:extent cx="5943600" cy="1409700"/>
            <wp:effectExtent l="0" t="0" r="0" b="12700"/>
            <wp:docPr id="1" name="Picture 1" descr="/Users/hawk0003/Desktop/PD General Masters /k20center-logo-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awk0003/Desktop/PD General Masters /k20center-logo-fu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D0163" w14:textId="77777777" w:rsidR="0068032B" w:rsidRDefault="0068032B"/>
    <w:p w14:paraId="09A0C315" w14:textId="6DB29C22" w:rsidR="002C2C76" w:rsidRPr="002948DF" w:rsidRDefault="00AF75BF" w:rsidP="00AF75BF">
      <w:pPr>
        <w:jc w:val="center"/>
        <w:rPr>
          <w:rFonts w:asciiTheme="majorHAnsi" w:hAnsiTheme="majorHAnsi"/>
          <w:color w:val="910D28" w:themeColor="accent1"/>
          <w:sz w:val="40"/>
          <w:szCs w:val="40"/>
        </w:rPr>
      </w:pPr>
      <w:r>
        <w:rPr>
          <w:rFonts w:asciiTheme="majorHAnsi" w:hAnsiTheme="majorHAnsi"/>
          <w:color w:val="910D28" w:themeColor="accent1"/>
          <w:sz w:val="40"/>
          <w:szCs w:val="40"/>
        </w:rPr>
        <w:t xml:space="preserve">OWNING THE LEARNING: </w:t>
      </w:r>
      <w:r w:rsidR="002C2C76">
        <w:rPr>
          <w:rFonts w:asciiTheme="majorHAnsi" w:hAnsiTheme="majorHAnsi"/>
          <w:color w:val="910D28" w:themeColor="accent1"/>
          <w:sz w:val="40"/>
          <w:szCs w:val="40"/>
        </w:rPr>
        <w:t>Intentional Student Choice</w:t>
      </w:r>
    </w:p>
    <w:p w14:paraId="7768B5B9" w14:textId="77777777" w:rsidR="002C2C76" w:rsidRPr="002948DF" w:rsidRDefault="002C2C76" w:rsidP="002C2C76">
      <w:pPr>
        <w:jc w:val="center"/>
        <w:rPr>
          <w:rFonts w:asciiTheme="majorHAnsi" w:hAnsiTheme="majorHAnsi"/>
          <w:color w:val="910D28" w:themeColor="accent1"/>
          <w:sz w:val="32"/>
          <w:szCs w:val="32"/>
        </w:rPr>
      </w:pPr>
    </w:p>
    <w:p w14:paraId="071063C9" w14:textId="77777777" w:rsidR="002C2C76" w:rsidRPr="002948DF" w:rsidRDefault="002C2C76" w:rsidP="002C2C76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Engage – </w:t>
      </w:r>
      <w:r>
        <w:rPr>
          <w:rFonts w:asciiTheme="majorHAnsi" w:hAnsiTheme="majorHAnsi"/>
          <w:color w:val="2E2E2E" w:themeColor="text1"/>
          <w:sz w:val="32"/>
          <w:szCs w:val="32"/>
        </w:rPr>
        <w:t>3-2-1</w:t>
      </w:r>
    </w:p>
    <w:p w14:paraId="1AD0C6F3" w14:textId="6A7BA54E" w:rsidR="002C2C76" w:rsidRPr="002948DF" w:rsidRDefault="002C2C76" w:rsidP="002C2C76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Explore – </w:t>
      </w:r>
      <w:r>
        <w:rPr>
          <w:rFonts w:asciiTheme="majorHAnsi" w:hAnsiTheme="majorHAnsi"/>
          <w:color w:val="2E2E2E" w:themeColor="text1"/>
          <w:sz w:val="32"/>
          <w:szCs w:val="32"/>
        </w:rPr>
        <w:t>Card Sort</w:t>
      </w:r>
      <w:r w:rsidR="00531CB5">
        <w:rPr>
          <w:rFonts w:asciiTheme="majorHAnsi" w:hAnsiTheme="majorHAnsi"/>
          <w:color w:val="2E2E2E" w:themeColor="text1"/>
          <w:sz w:val="32"/>
          <w:szCs w:val="32"/>
        </w:rPr>
        <w:t xml:space="preserve"> and Concept Place</w:t>
      </w:r>
      <w:r w:rsidR="00D8705C">
        <w:rPr>
          <w:rFonts w:asciiTheme="majorHAnsi" w:hAnsiTheme="majorHAnsi"/>
          <w:color w:val="2E2E2E" w:themeColor="text1"/>
          <w:sz w:val="32"/>
          <w:szCs w:val="32"/>
        </w:rPr>
        <w:t xml:space="preserve"> M</w:t>
      </w:r>
      <w:r w:rsidR="00531CB5">
        <w:rPr>
          <w:rFonts w:asciiTheme="majorHAnsi" w:hAnsiTheme="majorHAnsi"/>
          <w:color w:val="2E2E2E" w:themeColor="text1"/>
          <w:sz w:val="32"/>
          <w:szCs w:val="32"/>
        </w:rPr>
        <w:t>at</w:t>
      </w:r>
    </w:p>
    <w:p w14:paraId="566D2334" w14:textId="11EB2077" w:rsidR="002C2C76" w:rsidRPr="002948DF" w:rsidRDefault="002C2C76" w:rsidP="002C2C76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>Explain –</w:t>
      </w:r>
      <w:r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2E2E2E" w:themeColor="text1"/>
          <w:sz w:val="32"/>
          <w:szCs w:val="32"/>
        </w:rPr>
        <w:t>Syne</w:t>
      </w:r>
      <w:r w:rsidR="008F35CE">
        <w:rPr>
          <w:rFonts w:asciiTheme="majorHAnsi" w:hAnsiTheme="majorHAnsi"/>
          <w:color w:val="2E2E2E" w:themeColor="text1"/>
          <w:sz w:val="32"/>
          <w:szCs w:val="32"/>
        </w:rPr>
        <w:t>c</w:t>
      </w:r>
      <w:r>
        <w:rPr>
          <w:rFonts w:asciiTheme="majorHAnsi" w:hAnsiTheme="majorHAnsi"/>
          <w:color w:val="2E2E2E" w:themeColor="text1"/>
          <w:sz w:val="32"/>
          <w:szCs w:val="32"/>
        </w:rPr>
        <w:t>tics</w:t>
      </w:r>
      <w:proofErr w:type="spellEnd"/>
    </w:p>
    <w:p w14:paraId="3E6288D8" w14:textId="3524FD20" w:rsidR="008F35CE" w:rsidRDefault="002C2C76" w:rsidP="008F35CE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2948DF">
        <w:rPr>
          <w:rFonts w:asciiTheme="majorHAnsi" w:hAnsiTheme="majorHAnsi"/>
          <w:color w:val="2E2E2E" w:themeColor="text1"/>
          <w:sz w:val="32"/>
          <w:szCs w:val="32"/>
        </w:rPr>
        <w:t xml:space="preserve">Extend – </w:t>
      </w:r>
      <w:r w:rsidR="00820CF6">
        <w:rPr>
          <w:rFonts w:asciiTheme="majorHAnsi" w:hAnsiTheme="majorHAnsi"/>
          <w:color w:val="2E2E2E" w:themeColor="text1"/>
          <w:sz w:val="32"/>
          <w:szCs w:val="32"/>
        </w:rPr>
        <w:t>Paint Chips</w:t>
      </w:r>
    </w:p>
    <w:p w14:paraId="1136BC31" w14:textId="652898AA" w:rsidR="002C2C76" w:rsidRPr="008F35CE" w:rsidRDefault="002C2C76" w:rsidP="008F35CE">
      <w:pPr>
        <w:pStyle w:val="ListParagraph"/>
        <w:numPr>
          <w:ilvl w:val="0"/>
          <w:numId w:val="1"/>
        </w:numPr>
        <w:rPr>
          <w:rFonts w:asciiTheme="majorHAnsi" w:hAnsiTheme="majorHAnsi"/>
          <w:color w:val="2E2E2E" w:themeColor="text1"/>
          <w:sz w:val="32"/>
          <w:szCs w:val="32"/>
        </w:rPr>
      </w:pPr>
      <w:r w:rsidRPr="008F35CE">
        <w:rPr>
          <w:rFonts w:asciiTheme="majorHAnsi" w:hAnsiTheme="majorHAnsi"/>
          <w:color w:val="2E2E2E" w:themeColor="text1"/>
          <w:sz w:val="32"/>
          <w:szCs w:val="32"/>
        </w:rPr>
        <w:t>Evaluate – TREK</w:t>
      </w:r>
      <w:r w:rsidR="008F35CE" w:rsidRPr="008F35CE">
        <w:rPr>
          <w:rFonts w:asciiTheme="majorHAnsi" w:hAnsiTheme="majorHAnsi"/>
          <w:color w:val="2E2E2E" w:themeColor="text1"/>
          <w:sz w:val="32"/>
          <w:szCs w:val="32"/>
        </w:rPr>
        <w:t xml:space="preserve"> </w:t>
      </w:r>
    </w:p>
    <w:p w14:paraId="03CC08C6" w14:textId="77777777" w:rsidR="001F5C62" w:rsidRPr="002948DF" w:rsidRDefault="008538F0" w:rsidP="001F5C62">
      <w:pPr>
        <w:pStyle w:val="ListParagraph"/>
        <w:rPr>
          <w:rFonts w:asciiTheme="majorHAnsi" w:hAnsiTheme="majorHAnsi"/>
          <w:color w:val="910D28" w:themeColor="accent1"/>
          <w:sz w:val="32"/>
          <w:szCs w:val="32"/>
        </w:rPr>
      </w:pPr>
      <w:r w:rsidRPr="002948DF">
        <w:rPr>
          <w:rFonts w:asciiTheme="majorHAnsi" w:hAnsiTheme="majorHAnsi"/>
          <w:noProof/>
          <w:color w:val="910D28" w:themeColor="accen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5E31D" wp14:editId="301E9FBC">
                <wp:simplePos x="0" y="0"/>
                <wp:positionH relativeFrom="column">
                  <wp:posOffset>280670</wp:posOffset>
                </wp:positionH>
                <wp:positionV relativeFrom="paragraph">
                  <wp:posOffset>707390</wp:posOffset>
                </wp:positionV>
                <wp:extent cx="5257800" cy="2999740"/>
                <wp:effectExtent l="0" t="0" r="25400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999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9A09C" w14:textId="77777777" w:rsidR="008538F0" w:rsidRPr="00CE5FCB" w:rsidRDefault="008538F0" w:rsidP="008538F0">
                            <w:pPr>
                              <w:jc w:val="center"/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E5FCB">
                              <w:rPr>
                                <w:rFonts w:asciiTheme="majorHAnsi" w:hAnsiTheme="majorHAnsi"/>
                                <w:color w:val="910D28" w:themeColor="accent1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</w:p>
                          <w:p w14:paraId="0AF9B203" w14:textId="77777777" w:rsidR="00D8705C" w:rsidRPr="00D8705C" w:rsidRDefault="00D8705C" w:rsidP="00D87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Dugas, D. (2016). Group dynamics and individual roles: A differentiated approach to social-emotional learning. The Clearing House: A Journal of Educational Strategies, Issues and Ideas, 90(2), 41-47. doi:10.1080/00098655.2016.1256156</w:t>
                            </w:r>
                          </w:p>
                          <w:p w14:paraId="73FC67DF" w14:textId="3529C5E1" w:rsidR="00D8705C" w:rsidRPr="00D8705C" w:rsidRDefault="00D8705C" w:rsidP="00D8705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Jensen, E. (2013). Engaging students with poverty in mind. Alexandria, VA: Association for Supervision &amp; Curriculum Development.</w:t>
                            </w:r>
                          </w:p>
                          <w:p w14:paraId="77195EBA" w14:textId="700B7DB7" w:rsidR="00D8705C" w:rsidRDefault="007613E1" w:rsidP="00F916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 xml:space="preserve">K20 Center Instructional Strategies and Authentic Lessons </w:t>
                            </w:r>
                            <w:r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="00D8705C"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https://learn.k20center.ou.edu/strategy/find.html</w:t>
                            </w:r>
                          </w:p>
                          <w:p w14:paraId="68CDE1C7" w14:textId="505C1188" w:rsidR="00D8705C" w:rsidRPr="00D8705C" w:rsidRDefault="00D8705C" w:rsidP="00F916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 w:rsidRPr="00D8705C"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Scott, M. (2017). Even on your worst day, you can be a student’s best hope. Alexandria, VA: Association for Supervision &amp; Curriculum Development.</w:t>
                            </w:r>
                          </w:p>
                          <w:p w14:paraId="6BEE5E9F" w14:textId="50B5E19D" w:rsidR="007D569A" w:rsidRPr="00CE5FCB" w:rsidRDefault="007D569A" w:rsidP="00233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  <w:t>Dugas, D. (2017). Group dynamics and individual roles: A differentiated approach to social-emotional learning. The Clearing House: A Journal of Educational Strategies, Issues and Ideas, 90(2), 41-47.</w:t>
                            </w:r>
                          </w:p>
                          <w:p w14:paraId="44CB444B" w14:textId="77777777" w:rsidR="0023312D" w:rsidRPr="00CE5FCB" w:rsidRDefault="0023312D" w:rsidP="00F837C7">
                            <w:pPr>
                              <w:rPr>
                                <w:rFonts w:asciiTheme="majorHAnsi" w:hAnsiTheme="majorHAnsi"/>
                                <w:color w:val="910D28" w:themeColor="accen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5E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1pt;margin-top:55.7pt;width:414pt;height:2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" fillcolor="white [3201]" strokecolor="#3e5c61 [3205]" strokeweight="2pt">
                <v:textbox>
                  <w:txbxContent>
                    <w:p w14:paraId="7A49A09C" w14:textId="77777777" w:rsidR="008538F0" w:rsidRPr="00CE5FCB" w:rsidRDefault="008538F0" w:rsidP="008538F0">
                      <w:pPr>
                        <w:jc w:val="center"/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  <w:u w:val="single"/>
                        </w:rPr>
                      </w:pPr>
                      <w:r w:rsidRPr="00CE5FCB">
                        <w:rPr>
                          <w:rFonts w:asciiTheme="majorHAnsi" w:hAnsiTheme="majorHAnsi"/>
                          <w:color w:val="910D28" w:themeColor="accent1"/>
                          <w:sz w:val="32"/>
                          <w:szCs w:val="32"/>
                          <w:u w:val="single"/>
                        </w:rPr>
                        <w:t>Resources</w:t>
                      </w:r>
                    </w:p>
                    <w:p w14:paraId="0AF9B203" w14:textId="77777777" w:rsidR="00D8705C" w:rsidRPr="00D8705C" w:rsidRDefault="00D8705C" w:rsidP="00D870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Dugas, D. (2016). Group dynamics and individual roles: A differentiated approach to social-emotional learning. The Clearing House: A Journal of Educational Strategies, Issues and Ideas, 90(2), 41-47. doi:10.1080/00098655.2016.1256156</w:t>
                      </w:r>
                    </w:p>
                    <w:p w14:paraId="73FC67DF" w14:textId="3529C5E1" w:rsidR="00D8705C" w:rsidRPr="00D8705C" w:rsidRDefault="00D8705C" w:rsidP="00D8705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Jensen, E. (2013). Engaging students with poverty in mind. Alexandria, VA: Association for Supervision &amp; Curriculum Development.</w:t>
                      </w:r>
                    </w:p>
                    <w:p w14:paraId="77195EBA" w14:textId="700B7DB7" w:rsidR="00D8705C" w:rsidRDefault="007613E1" w:rsidP="00F916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K20 Center Instructional Strategies and Authentic Lessons </w:t>
                      </w:r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br/>
                      </w:r>
                      <w:r w:rsidR="00D8705C"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https://learn.k20center.ou.edu/strategy/find.html</w:t>
                      </w:r>
                    </w:p>
                    <w:p w14:paraId="68CDE1C7" w14:textId="505C1188" w:rsidR="00D8705C" w:rsidRPr="00D8705C" w:rsidRDefault="00D8705C" w:rsidP="00F916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 xml:space="preserve">Scott, M. (2017). Even on your worst day, you can be a </w:t>
                      </w:r>
                      <w:bookmarkStart w:id="1" w:name="_GoBack"/>
                      <w:bookmarkEnd w:id="1"/>
                      <w:r w:rsidRPr="00D8705C"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student’s best hope. Alexandria, VA: Association for Supervision &amp; Curriculum Development.</w:t>
                      </w:r>
                    </w:p>
                    <w:p w14:paraId="6BEE5E9F" w14:textId="50B5E19D" w:rsidR="007D569A" w:rsidRPr="00CE5FCB" w:rsidRDefault="007D569A" w:rsidP="00233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  <w:t>Dugas, D. (2017). Group dynamics and individual roles: A differentiated approach to social-emotional learning. The Clearing House: A Journal of Educational Strategies, Issues and Ideas, 90(2), 41-47.</w:t>
                      </w:r>
                    </w:p>
                    <w:p w14:paraId="44CB444B" w14:textId="77777777" w:rsidR="0023312D" w:rsidRPr="00CE5FCB" w:rsidRDefault="0023312D" w:rsidP="00F837C7">
                      <w:pPr>
                        <w:rPr>
                          <w:rFonts w:asciiTheme="majorHAnsi" w:hAnsiTheme="majorHAnsi"/>
                          <w:color w:val="910D28" w:themeColor="accen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C62" w:rsidRPr="002948DF" w:rsidSect="0064370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B166" w14:textId="77777777" w:rsidR="003C04B6" w:rsidRDefault="003C04B6" w:rsidP="008538F0">
      <w:r>
        <w:separator/>
      </w:r>
    </w:p>
  </w:endnote>
  <w:endnote w:type="continuationSeparator" w:id="0">
    <w:p w14:paraId="5E2D72C2" w14:textId="77777777" w:rsidR="003C04B6" w:rsidRDefault="003C04B6" w:rsidP="0085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2DAA" w14:textId="5470DC08" w:rsidR="00013F08" w:rsidRDefault="006E6FDF" w:rsidP="00013F08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1BB49" wp14:editId="435BEB59">
              <wp:simplePos x="0" y="0"/>
              <wp:positionH relativeFrom="column">
                <wp:posOffset>581025</wp:posOffset>
              </wp:positionH>
              <wp:positionV relativeFrom="paragraph">
                <wp:posOffset>-5715</wp:posOffset>
              </wp:positionV>
              <wp:extent cx="4486275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62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FC6CA7" w14:textId="62545FAF" w:rsidR="00013F08" w:rsidRPr="006E6FDF" w:rsidRDefault="002D4C85" w:rsidP="00013F08">
                          <w:pPr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Times New Roman" w:hAnsiTheme="majorHAnsi" w:cs="Times New Roman"/>
                              <w:b/>
                              <w:iCs/>
                              <w:color w:val="333333"/>
                              <w:kern w:val="36"/>
                              <w:sz w:val="22"/>
                              <w:szCs w:val="22"/>
                            </w:rPr>
                            <w:t>OWNING THE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A1BB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45.75pt;margin-top:-.45pt;width:353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" filled="f" stroked="f">
              <v:textbox>
                <w:txbxContent>
                  <w:p w14:paraId="49FC6CA7" w14:textId="62545FAF" w:rsidR="00013F08" w:rsidRPr="006E6FDF" w:rsidRDefault="002D4C85" w:rsidP="00013F08">
                    <w:pPr>
                      <w:jc w:val="righ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Theme="majorHAnsi" w:eastAsia="Times New Roman" w:hAnsiTheme="majorHAnsi" w:cs="Times New Roman"/>
                        <w:b/>
                        <w:iCs/>
                        <w:color w:val="333333"/>
                        <w:kern w:val="36"/>
                        <w:sz w:val="22"/>
                        <w:szCs w:val="22"/>
                      </w:rPr>
                      <w:t>OWNING THE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244F873" wp14:editId="53ABE787">
          <wp:simplePos x="0" y="0"/>
          <wp:positionH relativeFrom="column">
            <wp:posOffset>952500</wp:posOffset>
          </wp:positionH>
          <wp:positionV relativeFrom="paragraph">
            <wp:posOffset>20955</wp:posOffset>
          </wp:positionV>
          <wp:extent cx="4572000" cy="3168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3F08">
      <w:t xml:space="preserve"> </w:t>
    </w:r>
    <w:r w:rsidR="00013F08">
      <w:tab/>
    </w:r>
  </w:p>
  <w:p w14:paraId="5DA21001" w14:textId="77777777" w:rsidR="008538F0" w:rsidRDefault="00853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43A9" w14:textId="77777777" w:rsidR="003C04B6" w:rsidRDefault="003C04B6" w:rsidP="008538F0">
      <w:r>
        <w:separator/>
      </w:r>
    </w:p>
  </w:footnote>
  <w:footnote w:type="continuationSeparator" w:id="0">
    <w:p w14:paraId="3FA69A16" w14:textId="77777777" w:rsidR="003C04B6" w:rsidRDefault="003C04B6" w:rsidP="0085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40D"/>
    <w:multiLevelType w:val="hybridMultilevel"/>
    <w:tmpl w:val="BC5A3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FFD"/>
    <w:multiLevelType w:val="hybridMultilevel"/>
    <w:tmpl w:val="0CEC2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324031">
    <w:abstractNumId w:val="0"/>
  </w:num>
  <w:num w:numId="2" w16cid:durableId="80708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47"/>
    <w:rsid w:val="00013F08"/>
    <w:rsid w:val="000A1F40"/>
    <w:rsid w:val="00131218"/>
    <w:rsid w:val="001F5C62"/>
    <w:rsid w:val="00205414"/>
    <w:rsid w:val="0023312D"/>
    <w:rsid w:val="00246670"/>
    <w:rsid w:val="00284F51"/>
    <w:rsid w:val="002948DF"/>
    <w:rsid w:val="002C2C76"/>
    <w:rsid w:val="002D0409"/>
    <w:rsid w:val="002D4C85"/>
    <w:rsid w:val="002E25C4"/>
    <w:rsid w:val="00344FCB"/>
    <w:rsid w:val="00346CEA"/>
    <w:rsid w:val="00367F32"/>
    <w:rsid w:val="00395F20"/>
    <w:rsid w:val="003C04B6"/>
    <w:rsid w:val="00457D86"/>
    <w:rsid w:val="004B4E38"/>
    <w:rsid w:val="00531CB5"/>
    <w:rsid w:val="005D5668"/>
    <w:rsid w:val="0063051F"/>
    <w:rsid w:val="00643708"/>
    <w:rsid w:val="0068032B"/>
    <w:rsid w:val="006B03BD"/>
    <w:rsid w:val="006E6FDF"/>
    <w:rsid w:val="00736BA7"/>
    <w:rsid w:val="0075694A"/>
    <w:rsid w:val="007613E1"/>
    <w:rsid w:val="00787C24"/>
    <w:rsid w:val="007D569A"/>
    <w:rsid w:val="007E7FEE"/>
    <w:rsid w:val="00820CF6"/>
    <w:rsid w:val="008538F0"/>
    <w:rsid w:val="008E287E"/>
    <w:rsid w:val="008F35CE"/>
    <w:rsid w:val="009078AE"/>
    <w:rsid w:val="009259A2"/>
    <w:rsid w:val="0094133F"/>
    <w:rsid w:val="00966204"/>
    <w:rsid w:val="00AF75BF"/>
    <w:rsid w:val="00BE0008"/>
    <w:rsid w:val="00C225F9"/>
    <w:rsid w:val="00C62B84"/>
    <w:rsid w:val="00CB092A"/>
    <w:rsid w:val="00CB4858"/>
    <w:rsid w:val="00CE5FCB"/>
    <w:rsid w:val="00D27547"/>
    <w:rsid w:val="00D46D23"/>
    <w:rsid w:val="00D83C9C"/>
    <w:rsid w:val="00D8705C"/>
    <w:rsid w:val="00D928A6"/>
    <w:rsid w:val="00F36122"/>
    <w:rsid w:val="00F837C7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34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F0"/>
    <w:rPr>
      <w:color w:val="289CC7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F0"/>
  </w:style>
  <w:style w:type="paragraph" w:styleId="Footer">
    <w:name w:val="footer"/>
    <w:basedOn w:val="Normal"/>
    <w:link w:val="FooterChar"/>
    <w:uiPriority w:val="99"/>
    <w:unhideWhenUsed/>
    <w:rsid w:val="00853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8F0"/>
  </w:style>
  <w:style w:type="character" w:styleId="UnresolvedMention">
    <w:name w:val="Unresolved Mention"/>
    <w:basedOn w:val="DefaultParagraphFont"/>
    <w:uiPriority w:val="99"/>
    <w:rsid w:val="00D870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140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Owning Student Learning Agenda</vt:lpstr>
    </vt:vector>
  </TitlesOfParts>
  <Manager/>
  <Company/>
  <LinksUpToDate>false</LinksUpToDate>
  <CharactersWithSpaces>167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Owning Student Learning Agenda</dc:title>
  <dc:subject/>
  <dc:creator>K20 Center</dc:creator>
  <cp:keywords/>
  <dc:description/>
  <cp:lastModifiedBy>Walker, Lena M.</cp:lastModifiedBy>
  <cp:revision>2</cp:revision>
  <cp:lastPrinted>2016-07-01T16:12:00Z</cp:lastPrinted>
  <dcterms:created xsi:type="dcterms:W3CDTF">2024-01-02T16:58:00Z</dcterms:created>
  <dcterms:modified xsi:type="dcterms:W3CDTF">2024-01-02T16:58:00Z</dcterms:modified>
  <cp:category/>
</cp:coreProperties>
</file>