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24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smallCaps w:val="1"/>
          <w:sz w:val="48"/>
          <w:szCs w:val="48"/>
          <w:rtl w:val="0"/>
        </w:rPr>
        <w:t xml:space="preserve">scorre reflection tool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6720"/>
        <w:tblGridChange w:id="0">
          <w:tblGrid>
            <w:gridCol w:w="2850"/>
            <w:gridCol w:w="6720"/>
          </w:tblGrid>
        </w:tblGridChange>
      </w:tblGrid>
      <w:tr>
        <w:trPr>
          <w:trHeight w:val="1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134f5c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SCORRE </w:t>
              <w:br w:type="textWrapping"/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134f5c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Reflection Questions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i w:val="1"/>
                <w:color w:val="d0e0e3"/>
                <w:sz w:val="28"/>
                <w:szCs w:val="28"/>
              </w:rPr>
            </w:pPr>
            <w:r w:rsidDel="00000000" w:rsidR="00000000" w:rsidRPr="00000000">
              <w:rPr>
                <w:i w:val="1"/>
                <w:color w:val="d0e0e3"/>
                <w:sz w:val="28"/>
                <w:szCs w:val="28"/>
                <w:rtl w:val="0"/>
              </w:rPr>
              <w:t xml:space="preserve">In what ways does the lesson…</w:t>
            </w:r>
          </w:p>
        </w:tc>
      </w:tr>
      <w:tr>
        <w:trPr>
          <w:trHeight w:val="2980.78125" w:hRule="atLeast"/>
        </w:trPr>
        <w:tc>
          <w:tcPr>
            <w:tcBorders>
              <w:top w:color="134f5c" w:space="0" w:sz="8" w:val="single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Rule="auto"/>
              <w:ind w:right="7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Student-Centered Opportunities</w:t>
            </w:r>
          </w:p>
        </w:tc>
        <w:tc>
          <w:tcPr>
            <w:tcBorders>
              <w:top w:color="134f5c" w:space="0" w:sz="8" w:val="single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students to create a product that integrates or represents their learning in a unique way? 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students to share ideas and respond to the ideas of others?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allow students to make choices about their learning environment (content, process, or product)?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allow students to assess or critique their own work?</w:t>
            </w:r>
          </w:p>
        </w:tc>
      </w:tr>
      <w:tr>
        <w:trPr>
          <w:trHeight w:val="3183.75" w:hRule="atLeast"/>
        </w:trPr>
        <w:tc>
          <w:tcPr>
            <w:tcBorders>
              <w:top w:color="134f5c" w:space="0" w:sz="8" w:val="single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Rigor </w:t>
            </w:r>
          </w:p>
          <w:p w:rsidR="00000000" w:rsidDel="00000000" w:rsidP="00000000" w:rsidRDefault="00000000" w:rsidRPr="00000000" w14:paraId="0000000B">
            <w:pPr>
              <w:spacing w:after="120" w:before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Opportunities</w:t>
            </w:r>
          </w:p>
        </w:tc>
        <w:tc>
          <w:tcPr>
            <w:tcBorders>
              <w:top w:color="134f5c" w:space="0" w:sz="8" w:val="single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 students with opportunities to develop and use higher-order thinking (HOT) skills (organizing, synthesizing, interpreting, integrating, evaluating)?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meaningful questions to guide student learning?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students to construct a supported explanation or argument?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students to negotiate a group understanding of a concept or idea?</w:t>
            </w:r>
          </w:p>
        </w:tc>
      </w:tr>
      <w:tr>
        <w:trPr>
          <w:trHeight w:val="2055" w:hRule="atLeast"/>
        </w:trPr>
        <w:tc>
          <w:tcPr>
            <w:tcBorders>
              <w:top w:color="134f5c" w:space="0" w:sz="8" w:val="single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Relevant 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Opportunities</w:t>
            </w:r>
          </w:p>
        </w:tc>
        <w:tc>
          <w:tcPr>
            <w:tcBorders>
              <w:top w:color="134f5c" w:space="0" w:sz="8" w:val="single"/>
              <w:left w:color="000000" w:space="0" w:sz="0" w:val="nil"/>
              <w:bottom w:color="134f5c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allow students to make personal connections with the learning activities?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a topic or problem that has real-world implications? </w:t>
            </w:r>
          </w:p>
        </w:tc>
      </w:tr>
      <w:tr>
        <w:trPr>
          <w:trHeight w:val="2010" w:hRule="atLeast"/>
        </w:trPr>
        <w:tc>
          <w:tcPr>
            <w:tcBorders>
              <w:top w:color="134f5c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Engaging </w:t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Opportunities</w:t>
            </w:r>
          </w:p>
        </w:tc>
        <w:tc>
          <w:tcPr>
            <w:tcBorders>
              <w:top w:color="134f5c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students in the role of active rather than passive learners?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120" w:before="12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formative assessment to link prior knowledge with new knowledge?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1438275</wp:posOffset>
          </wp:positionH>
          <wp:positionV relativeFrom="paragraph">
            <wp:posOffset>9525</wp:posOffset>
          </wp:positionV>
          <wp:extent cx="4572000" cy="316865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1495425</wp:posOffset>
              </wp:positionH>
              <wp:positionV relativeFrom="paragraph">
                <wp:posOffset>-28574</wp:posOffset>
              </wp:positionV>
              <wp:extent cx="4010025" cy="270719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46125" y="3637125"/>
                        <a:ext cx="4500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RUNNING UP THE SCORRE IN YOUR CLASSROOM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1495425</wp:posOffset>
              </wp:positionH>
              <wp:positionV relativeFrom="paragraph">
                <wp:posOffset>-28574</wp:posOffset>
              </wp:positionV>
              <wp:extent cx="4010025" cy="270719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0025" cy="27071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</cp:coreProperties>
</file>