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HONEYCOMB HARVEST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262688" cy="6535387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7550" y="34600"/>
                          <a:ext cx="6262688" cy="6535387"/>
                          <a:chOff x="2507550" y="34600"/>
                          <a:chExt cx="8225328" cy="860135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507550" y="34600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Academic Planner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507557" y="2187403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t xml:space="preserve">Self-reflection on effort and performance in a learning task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07550" y="4310838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Self-evaluation of content knowledge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417800" y="1110925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Students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actively adjust environment to maximize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learning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417800" y="3263725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Tasks that benefit from revisiting or checking work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4417800" y="5416525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Actively tracking and managing time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386203" y="2187400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Explaining the utility or value of learning new content or skills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347425" y="4320525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4"/>
                                  <w:vertAlign w:val="baseline"/>
                                </w:rPr>
                                <w:t xml:space="preserve">Providing justifications with answers or results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395900" y="53975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Planning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before a learning task starts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8247978" y="5416525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Having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long and short-term goals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507550" y="6483153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t xml:space="preserve">Classroom culture strategies to direct and focus attention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6347418" y="6473472"/>
                            <a:ext cx="2484900" cy="21528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Self-modifying learning strategies based on strengths and weaknesses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62688" cy="6535387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2688" cy="65353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STUDY SKILLS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pageBreakBefore w:val="0"/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