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B6353" w:rsidRPr="00745AF8" w:rsidRDefault="00000000">
      <w:pPr>
        <w:rPr>
          <w:rFonts w:ascii="Calibri" w:eastAsia="Calibri" w:hAnsi="Calibri" w:cs="Calibri"/>
          <w:sz w:val="112"/>
          <w:szCs w:val="112"/>
        </w:rPr>
      </w:pPr>
      <w:r w:rsidRPr="00745AF8">
        <w:rPr>
          <w:rFonts w:ascii="Calibri" w:eastAsia="Calibri" w:hAnsi="Calibri" w:cs="Calibri"/>
          <w:sz w:val="112"/>
          <w:szCs w:val="112"/>
        </w:rPr>
        <w:t>A strong presence of shared goals fosters community and cooperation within the organization.</w:t>
      </w:r>
      <w:r w:rsidRPr="00745AF8">
        <w:rPr>
          <w:sz w:val="112"/>
          <w:szCs w:val="112"/>
        </w:rPr>
        <w:br w:type="page"/>
      </w:r>
    </w:p>
    <w:p w14:paraId="00000002" w14:textId="77777777" w:rsidR="00BB6353" w:rsidRPr="00745AF8" w:rsidRDefault="00000000">
      <w:pPr>
        <w:rPr>
          <w:rFonts w:ascii="Calibri" w:eastAsia="Calibri" w:hAnsi="Calibri" w:cs="Calibri"/>
          <w:sz w:val="112"/>
          <w:szCs w:val="112"/>
        </w:rPr>
      </w:pPr>
      <w:r w:rsidRPr="00745AF8">
        <w:rPr>
          <w:rFonts w:ascii="Calibri" w:eastAsia="Calibri" w:hAnsi="Calibri" w:cs="Calibri"/>
          <w:sz w:val="112"/>
          <w:szCs w:val="112"/>
        </w:rPr>
        <w:lastRenderedPageBreak/>
        <w:t xml:space="preserve">Being specific about how roles connect to </w:t>
      </w:r>
      <w:r w:rsidRPr="00745AF8">
        <w:rPr>
          <w:rFonts w:ascii="Calibri" w:eastAsia="Calibri" w:hAnsi="Calibri" w:cs="Calibri"/>
          <w:sz w:val="112"/>
          <w:szCs w:val="112"/>
        </w:rPr>
        <w:br/>
        <w:t xml:space="preserve">the organizational goals </w:t>
      </w:r>
      <w:proofErr w:type="gramStart"/>
      <w:r w:rsidRPr="00745AF8">
        <w:rPr>
          <w:rFonts w:ascii="Calibri" w:eastAsia="Calibri" w:hAnsi="Calibri" w:cs="Calibri"/>
          <w:sz w:val="112"/>
          <w:szCs w:val="112"/>
        </w:rPr>
        <w:t>helps</w:t>
      </w:r>
      <w:proofErr w:type="gramEnd"/>
      <w:r w:rsidRPr="00745AF8">
        <w:rPr>
          <w:rFonts w:ascii="Calibri" w:eastAsia="Calibri" w:hAnsi="Calibri" w:cs="Calibri"/>
          <w:sz w:val="112"/>
          <w:szCs w:val="112"/>
        </w:rPr>
        <w:t xml:space="preserve"> to clarify </w:t>
      </w:r>
      <w:r w:rsidRPr="00745AF8">
        <w:rPr>
          <w:rFonts w:ascii="Calibri" w:eastAsia="Calibri" w:hAnsi="Calibri" w:cs="Calibri"/>
          <w:sz w:val="112"/>
          <w:szCs w:val="112"/>
        </w:rPr>
        <w:br/>
        <w:t>work expectations and provides a focus for the work.</w:t>
      </w:r>
      <w:r w:rsidRPr="00745AF8">
        <w:rPr>
          <w:sz w:val="112"/>
          <w:szCs w:val="112"/>
        </w:rPr>
        <w:br w:type="page"/>
      </w:r>
    </w:p>
    <w:p w14:paraId="00000003" w14:textId="77777777" w:rsidR="00BB6353" w:rsidRPr="00745AF8" w:rsidRDefault="00000000">
      <w:pPr>
        <w:rPr>
          <w:rFonts w:ascii="Calibri" w:eastAsia="Calibri" w:hAnsi="Calibri" w:cs="Calibri"/>
          <w:sz w:val="112"/>
          <w:szCs w:val="112"/>
        </w:rPr>
      </w:pPr>
      <w:r w:rsidRPr="00745AF8">
        <w:rPr>
          <w:rFonts w:ascii="Calibri" w:eastAsia="Calibri" w:hAnsi="Calibri" w:cs="Calibri"/>
          <w:sz w:val="112"/>
          <w:szCs w:val="112"/>
        </w:rPr>
        <w:lastRenderedPageBreak/>
        <w:t>Goals help us to know what success looks like.</w:t>
      </w:r>
      <w:r w:rsidRPr="00745AF8">
        <w:rPr>
          <w:sz w:val="112"/>
          <w:szCs w:val="112"/>
        </w:rPr>
        <w:br w:type="page"/>
      </w:r>
    </w:p>
    <w:p w14:paraId="00000004" w14:textId="77777777" w:rsidR="00BB6353" w:rsidRPr="00745AF8" w:rsidRDefault="00000000">
      <w:pPr>
        <w:rPr>
          <w:rFonts w:ascii="Calibri" w:eastAsia="Calibri" w:hAnsi="Calibri" w:cs="Calibri"/>
          <w:sz w:val="112"/>
          <w:szCs w:val="112"/>
        </w:rPr>
      </w:pPr>
      <w:r w:rsidRPr="00745AF8">
        <w:rPr>
          <w:rFonts w:ascii="Calibri" w:eastAsia="Calibri" w:hAnsi="Calibri" w:cs="Calibri"/>
          <w:sz w:val="112"/>
          <w:szCs w:val="112"/>
        </w:rPr>
        <w:lastRenderedPageBreak/>
        <w:t>Altogether, human resources practices that nurture healthy growth in the staff generate physical, emotional, and cognitive well-being and positive energy, which is an asset toward the organization's strategic goals.</w:t>
      </w:r>
    </w:p>
    <w:p w14:paraId="00000005" w14:textId="77777777" w:rsidR="00BB6353" w:rsidRPr="00745AF8" w:rsidRDefault="00BB6353">
      <w:pPr>
        <w:rPr>
          <w:rFonts w:ascii="Calibri" w:eastAsia="Calibri" w:hAnsi="Calibri" w:cs="Calibri"/>
          <w:sz w:val="112"/>
          <w:szCs w:val="112"/>
        </w:rPr>
      </w:pPr>
    </w:p>
    <w:sectPr w:rsidR="00BB6353" w:rsidRPr="00745AF8">
      <w:headerReference w:type="even" r:id="rId7"/>
      <w:headerReference w:type="default" r:id="rId8"/>
      <w:footerReference w:type="default" r:id="rId9"/>
      <w:headerReference w:type="first" r:id="rId10"/>
      <w:pgSz w:w="24480" w:h="158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097" w14:textId="77777777" w:rsidR="00CC3484" w:rsidRDefault="00CC3484">
      <w:pPr>
        <w:spacing w:line="240" w:lineRule="auto"/>
      </w:pPr>
      <w:r>
        <w:separator/>
      </w:r>
    </w:p>
  </w:endnote>
  <w:endnote w:type="continuationSeparator" w:id="0">
    <w:p w14:paraId="61C5E39B" w14:textId="77777777" w:rsidR="00CC3484" w:rsidRDefault="00CC3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4D0EB0CE" w:rsidR="00BB6353" w:rsidRDefault="00745AF8">
    <w:pPr>
      <w:jc w:val="right"/>
      <w:rPr>
        <w:rFonts w:ascii="Calibri" w:eastAsia="Calibri" w:hAnsi="Calibri" w:cs="Calibri"/>
        <w:b/>
        <w:color w:val="980000"/>
        <w:sz w:val="24"/>
        <w:szCs w:val="24"/>
      </w:rPr>
    </w:pP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2BAEBA32" wp14:editId="738DBFD5">
          <wp:simplePos x="0" y="0"/>
          <wp:positionH relativeFrom="column">
            <wp:posOffset>2593340</wp:posOffset>
          </wp:positionH>
          <wp:positionV relativeFrom="paragraph">
            <wp:posOffset>-411480</wp:posOffset>
          </wp:positionV>
          <wp:extent cx="11139170" cy="7715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17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B0251" wp14:editId="1AAB1D36">
              <wp:simplePos x="0" y="0"/>
              <wp:positionH relativeFrom="column">
                <wp:posOffset>2442845</wp:posOffset>
              </wp:positionH>
              <wp:positionV relativeFrom="paragraph">
                <wp:posOffset>-410960</wp:posOffset>
              </wp:positionV>
              <wp:extent cx="10117455" cy="498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745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EAD61" w14:textId="24757F12" w:rsidR="00745AF8" w:rsidRPr="00745AF8" w:rsidRDefault="00745AF8" w:rsidP="00745AF8">
                          <w:pPr>
                            <w:pStyle w:val="LessonFooter"/>
                            <w:rPr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0724EFB3F2FBBB4A9CBE8877FD5C971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45AF8">
                                <w:rPr>
                                  <w:sz w:val="48"/>
                                  <w:szCs w:val="48"/>
                                </w:rPr>
                                <w:t>Aspects of Culture and Climate: Goals, Supports, and Structures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02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2.35pt;margin-top:-32.35pt;width:796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" filled="f" stroked="f">
              <v:textbox>
                <w:txbxContent>
                  <w:p w14:paraId="618EAD61" w14:textId="24757F12" w:rsidR="00745AF8" w:rsidRPr="00745AF8" w:rsidRDefault="00745AF8" w:rsidP="00745AF8">
                    <w:pPr>
                      <w:pStyle w:val="LessonFooter"/>
                      <w:rPr>
                        <w:sz w:val="48"/>
                        <w:szCs w:val="48"/>
                      </w:rPr>
                    </w:pPr>
                    <w:sdt>
                      <w:sdtPr>
                        <w:rPr>
                          <w:sz w:val="48"/>
                          <w:szCs w:val="48"/>
                        </w:rPr>
                        <w:alias w:val="Title"/>
                        <w:tag w:val=""/>
                        <w:id w:val="1902256145"/>
                        <w:placeholder>
                          <w:docPart w:val="0724EFB3F2FBBB4A9CBE8877FD5C971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745AF8">
                          <w:rPr>
                            <w:sz w:val="48"/>
                            <w:szCs w:val="48"/>
                          </w:rPr>
                          <w:t>Aspects of Culture and Climate: Goals, Supports, and Structures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4E13" w14:textId="77777777" w:rsidR="00CC3484" w:rsidRDefault="00CC3484">
      <w:pPr>
        <w:spacing w:line="240" w:lineRule="auto"/>
      </w:pPr>
      <w:r>
        <w:separator/>
      </w:r>
    </w:p>
  </w:footnote>
  <w:footnote w:type="continuationSeparator" w:id="0">
    <w:p w14:paraId="7A9B3465" w14:textId="77777777" w:rsidR="00CC3484" w:rsidRDefault="00CC3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D2A9" w14:textId="77777777" w:rsidR="00092B6B" w:rsidRDefault="0009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8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9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A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B" w14:textId="77777777" w:rsidR="00BB6353" w:rsidRPr="00745AF8" w:rsidRDefault="00000000">
    <w:pPr>
      <w:rPr>
        <w:sz w:val="64"/>
        <w:szCs w:val="64"/>
      </w:rPr>
    </w:pPr>
    <w:r w:rsidRPr="00745AF8">
      <w:rPr>
        <w:rFonts w:ascii="Calibri" w:eastAsia="Calibri" w:hAnsi="Calibri" w:cs="Calibri"/>
        <w:b/>
        <w:sz w:val="64"/>
        <w:szCs w:val="64"/>
      </w:rPr>
      <w:t>MAGNETIC STATEMENTS</w:t>
    </w:r>
    <w:r w:rsidRPr="00745AF8">
      <w:rPr>
        <w:rFonts w:ascii="Calibri" w:eastAsia="Calibri" w:hAnsi="Calibri" w:cs="Calibri"/>
        <w:b/>
        <w:sz w:val="64"/>
        <w:szCs w:val="6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BF1" w14:textId="77777777" w:rsidR="00092B6B" w:rsidRDefault="00092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53"/>
    <w:rsid w:val="0006362C"/>
    <w:rsid w:val="00092B6B"/>
    <w:rsid w:val="001D3F9F"/>
    <w:rsid w:val="00340B49"/>
    <w:rsid w:val="00745AF8"/>
    <w:rsid w:val="009E5325"/>
    <w:rsid w:val="00BB6353"/>
    <w:rsid w:val="00CA1D90"/>
    <w:rsid w:val="00C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825C0"/>
  <w15:docId w15:val="{0D16F4F2-6999-40EB-804F-813B982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B"/>
  </w:style>
  <w:style w:type="paragraph" w:styleId="Footer">
    <w:name w:val="footer"/>
    <w:basedOn w:val="Normal"/>
    <w:link w:val="Foot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B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45AF8"/>
    <w:pPr>
      <w:jc w:val="right"/>
    </w:pPr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45AF8"/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45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4EFB3F2FBBB4A9CBE8877FD5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1C5A-5793-294D-A385-FD8E4D6A2BB4}"/>
      </w:docPartPr>
      <w:docPartBody>
        <w:p w:rsidR="00000000" w:rsidRDefault="00F63B5D" w:rsidP="00F63B5D">
          <w:pPr>
            <w:pStyle w:val="0724EFB3F2FBBB4A9CBE8877FD5C971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D"/>
    <w:rsid w:val="00F26FEE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B5D"/>
    <w:rPr>
      <w:color w:val="808080"/>
    </w:rPr>
  </w:style>
  <w:style w:type="paragraph" w:customStyle="1" w:styleId="0724EFB3F2FBBB4A9CBE8877FD5C9713">
    <w:name w:val="0724EFB3F2FBBB4A9CBE8877FD5C9713"/>
    <w:rsid w:val="00F63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F7911-7FEF-FA41-95F6-CF4CDC3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Culture and Climate: Goals, Supports, and Structures</dc:title>
  <dc:creator>K20 Center</dc:creator>
  <cp:lastModifiedBy>Shogren, Caitlin E.</cp:lastModifiedBy>
  <cp:revision>3</cp:revision>
  <dcterms:created xsi:type="dcterms:W3CDTF">2023-05-10T18:27:00Z</dcterms:created>
  <dcterms:modified xsi:type="dcterms:W3CDTF">2023-05-15T17:59:00Z</dcterms:modified>
</cp:coreProperties>
</file>