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9E8DD" w14:textId="68711522" w:rsidR="002E5B83" w:rsidRPr="00C973D7" w:rsidRDefault="00C973D7">
      <w:pPr>
        <w:spacing w:after="200"/>
        <w:rPr>
          <w:rFonts w:ascii="Times New Roman" w:eastAsia="Times New Roman" w:hAnsi="Times New Roman" w:cs="Times New Roman"/>
          <w:sz w:val="32"/>
          <w:szCs w:val="32"/>
        </w:rPr>
      </w:pPr>
      <w:r w:rsidRPr="00C973D7">
        <w:rPr>
          <w:rFonts w:ascii="Calibri" w:eastAsia="Calibri" w:hAnsi="Calibri" w:cs="Calibri"/>
          <w:b/>
          <w:sz w:val="32"/>
          <w:szCs w:val="32"/>
        </w:rPr>
        <w:t>WHISTLE WHILE YOU WORK: PROFESSIONAL ENGAGEMENT</w:t>
      </w:r>
    </w:p>
    <w:p w14:paraId="4C574D50" w14:textId="48098B09" w:rsidR="002E5B83" w:rsidRDefault="00000000">
      <w:pPr>
        <w:spacing w:after="200"/>
        <w:rPr>
          <w:rFonts w:ascii="Calibri" w:eastAsia="Calibri" w:hAnsi="Calibri" w:cs="Calibri"/>
        </w:rPr>
      </w:pPr>
      <w:r>
        <w:rPr>
          <w:rFonts w:ascii="Calibri" w:eastAsia="Calibri" w:hAnsi="Calibri" w:cs="Calibri"/>
        </w:rPr>
        <w:t>Professional engagement (also referred to as employee engagement) is a psychological state in which an employee demonstrates both a willingness to go above and beyond</w:t>
      </w:r>
      <w:r w:rsidR="005036BD">
        <w:rPr>
          <w:rFonts w:ascii="Calibri" w:eastAsia="Calibri" w:hAnsi="Calibri" w:cs="Calibri"/>
        </w:rPr>
        <w:t xml:space="preserve"> their normal job responsibilities</w:t>
      </w:r>
      <w:r>
        <w:rPr>
          <w:rFonts w:ascii="Calibri" w:eastAsia="Calibri" w:hAnsi="Calibri" w:cs="Calibri"/>
        </w:rPr>
        <w:t xml:space="preserve"> to assist in organizational outcomes and </w:t>
      </w:r>
      <w:r w:rsidR="00723290">
        <w:rPr>
          <w:rFonts w:ascii="Calibri" w:eastAsia="Calibri" w:hAnsi="Calibri" w:cs="Calibri"/>
        </w:rPr>
        <w:t xml:space="preserve">to </w:t>
      </w:r>
      <w:r w:rsidR="005036BD">
        <w:rPr>
          <w:rFonts w:ascii="Calibri" w:eastAsia="Calibri" w:hAnsi="Calibri" w:cs="Calibri"/>
        </w:rPr>
        <w:t xml:space="preserve">develop </w:t>
      </w:r>
      <w:r>
        <w:rPr>
          <w:rFonts w:ascii="Calibri" w:eastAsia="Calibri" w:hAnsi="Calibri" w:cs="Calibri"/>
        </w:rPr>
        <w:t xml:space="preserve">an emotional connection to their work. The concept of employee engagement has been studied by numerous researchers in recent years. One recent study has shown that the concept can be better understood when broken down into three subdimensions: (1) </w:t>
      </w:r>
      <w:r w:rsidRPr="005036BD">
        <w:rPr>
          <w:rFonts w:ascii="Calibri" w:eastAsia="Calibri" w:hAnsi="Calibri" w:cs="Calibri"/>
          <w:bCs/>
        </w:rPr>
        <w:t>behavioral engagement,</w:t>
      </w:r>
      <w:r>
        <w:rPr>
          <w:rFonts w:ascii="Calibri" w:eastAsia="Calibri" w:hAnsi="Calibri" w:cs="Calibri"/>
        </w:rPr>
        <w:t xml:space="preserve"> (2) </w:t>
      </w:r>
      <w:r w:rsidRPr="005036BD">
        <w:rPr>
          <w:rFonts w:ascii="Calibri" w:eastAsia="Calibri" w:hAnsi="Calibri" w:cs="Calibri"/>
          <w:bCs/>
        </w:rPr>
        <w:t xml:space="preserve">emotional engagement, and (3) cognitive engagement (Shuck et al., 2017). In addition, researchers have </w:t>
      </w:r>
      <w:r>
        <w:rPr>
          <w:rFonts w:ascii="Calibri" w:eastAsia="Calibri" w:hAnsi="Calibri" w:cs="Calibri"/>
        </w:rPr>
        <w:t xml:space="preserve">demonstrated that (4) </w:t>
      </w:r>
      <w:r w:rsidRPr="005036BD">
        <w:rPr>
          <w:rFonts w:ascii="Calibri" w:eastAsia="Calibri" w:hAnsi="Calibri" w:cs="Calibri"/>
          <w:bCs/>
        </w:rPr>
        <w:t xml:space="preserve">job satisfaction </w:t>
      </w:r>
      <w:r>
        <w:rPr>
          <w:rFonts w:ascii="Calibri" w:eastAsia="Calibri" w:hAnsi="Calibri" w:cs="Calibri"/>
        </w:rPr>
        <w:t>is another positive outcome that results when employees are engaged in the workplace (</w:t>
      </w:r>
      <w:proofErr w:type="spellStart"/>
      <w:r>
        <w:rPr>
          <w:rFonts w:ascii="Calibri" w:eastAsia="Calibri" w:hAnsi="Calibri" w:cs="Calibri"/>
        </w:rPr>
        <w:t>Ogbonnaya</w:t>
      </w:r>
      <w:proofErr w:type="spellEnd"/>
      <w:r>
        <w:rPr>
          <w:rFonts w:ascii="Calibri" w:eastAsia="Calibri" w:hAnsi="Calibri" w:cs="Calibri"/>
        </w:rPr>
        <w:t xml:space="preserve"> &amp; </w:t>
      </w:r>
      <w:proofErr w:type="spellStart"/>
      <w:r>
        <w:rPr>
          <w:rFonts w:ascii="Calibri" w:eastAsia="Calibri" w:hAnsi="Calibri" w:cs="Calibri"/>
        </w:rPr>
        <w:t>Valizade</w:t>
      </w:r>
      <w:proofErr w:type="spellEnd"/>
      <w:r>
        <w:rPr>
          <w:rFonts w:ascii="Calibri" w:eastAsia="Calibri" w:hAnsi="Calibri" w:cs="Calibri"/>
        </w:rPr>
        <w:t xml:space="preserve">, 2018).  </w:t>
      </w:r>
    </w:p>
    <w:p w14:paraId="4C3DC69C" w14:textId="64023EE6" w:rsidR="002E5B83" w:rsidRPr="00C973D7" w:rsidRDefault="00000000">
      <w:pPr>
        <w:ind w:left="360" w:hanging="320"/>
        <w:rPr>
          <w:rFonts w:ascii="Calibri" w:eastAsia="Calibri" w:hAnsi="Calibri" w:cs="Calibri"/>
          <w:b/>
          <w:color w:val="910D28"/>
          <w:sz w:val="28"/>
          <w:szCs w:val="28"/>
        </w:rPr>
      </w:pPr>
      <w:r w:rsidRPr="00C973D7">
        <w:rPr>
          <w:rFonts w:ascii="Calibri" w:eastAsia="Calibri" w:hAnsi="Calibri" w:cs="Calibri"/>
          <w:b/>
          <w:color w:val="910D28"/>
          <w:sz w:val="28"/>
          <w:szCs w:val="28"/>
        </w:rPr>
        <w:t>1.</w:t>
      </w:r>
      <w:r w:rsidRPr="00C973D7">
        <w:rPr>
          <w:rFonts w:ascii="Times New Roman" w:eastAsia="Times New Roman" w:hAnsi="Times New Roman" w:cs="Times New Roman"/>
          <w:color w:val="910D28"/>
          <w:sz w:val="28"/>
          <w:szCs w:val="28"/>
        </w:rPr>
        <w:t xml:space="preserve">    </w:t>
      </w:r>
      <w:r w:rsidRPr="00C973D7">
        <w:rPr>
          <w:rFonts w:ascii="Times New Roman" w:eastAsia="Times New Roman" w:hAnsi="Times New Roman" w:cs="Times New Roman"/>
          <w:color w:val="910D28"/>
          <w:sz w:val="28"/>
          <w:szCs w:val="28"/>
        </w:rPr>
        <w:tab/>
      </w:r>
      <w:r w:rsidRPr="00C973D7">
        <w:rPr>
          <w:rFonts w:ascii="Calibri" w:eastAsia="Calibri" w:hAnsi="Calibri" w:cs="Calibri"/>
          <w:b/>
          <w:color w:val="910D28"/>
          <w:sz w:val="28"/>
          <w:szCs w:val="28"/>
        </w:rPr>
        <w:t>Behavioral Engagement</w:t>
      </w:r>
    </w:p>
    <w:p w14:paraId="78F932A0" w14:textId="51581CDE" w:rsidR="002E5B83" w:rsidRDefault="005005B1">
      <w:pPr>
        <w:ind w:left="720"/>
        <w:rPr>
          <w:rFonts w:ascii="Calibri" w:eastAsia="Calibri" w:hAnsi="Calibri" w:cs="Calibri"/>
        </w:rPr>
      </w:pPr>
      <w:r>
        <w:rPr>
          <w:rFonts w:ascii="Calibri" w:eastAsia="Calibri" w:hAnsi="Calibri" w:cs="Calibri"/>
        </w:rPr>
        <w:t>Behavioral engagement occurs when employees behave in a manner that they believe will have a positive effect on their job performance (Shuck et al., 2017; Macey &amp; Schneider, 2008; Rich et al., 2010). It is a psychological state that is “forward moving” or “proactive.” The behaviorally engaged employee often expresses a willingness to put in extra effort at their workplace prior to completing specific actions that benefit their organization (Macey &amp; Schneider, 2008). If you were to ask a behaviorally engaged employee how they felt about their job, they would tell you that they are willing to push themselves beyond what is expected of them (Shuck et al., 2017).</w:t>
      </w:r>
    </w:p>
    <w:p w14:paraId="0B1809CE" w14:textId="77777777" w:rsidR="002E5B83" w:rsidRDefault="00000000">
      <w:pPr>
        <w:ind w:left="720"/>
        <w:rPr>
          <w:rFonts w:ascii="Calibri" w:eastAsia="Calibri" w:hAnsi="Calibri" w:cs="Calibri"/>
          <w:b/>
        </w:rPr>
      </w:pPr>
      <w:r>
        <w:rPr>
          <w:rFonts w:ascii="Calibri" w:eastAsia="Calibri" w:hAnsi="Calibri" w:cs="Calibri"/>
          <w:b/>
        </w:rPr>
        <w:t xml:space="preserve"> </w:t>
      </w:r>
    </w:p>
    <w:p w14:paraId="343CEA0B" w14:textId="77777777" w:rsidR="002E5B83" w:rsidRPr="00C973D7" w:rsidRDefault="00000000">
      <w:pPr>
        <w:rPr>
          <w:rFonts w:ascii="Calibri" w:eastAsia="Calibri" w:hAnsi="Calibri" w:cs="Calibri"/>
          <w:b/>
          <w:color w:val="910D28"/>
          <w:sz w:val="28"/>
          <w:szCs w:val="28"/>
        </w:rPr>
      </w:pPr>
      <w:r w:rsidRPr="00C973D7">
        <w:rPr>
          <w:rFonts w:ascii="Calibri" w:eastAsia="Calibri" w:hAnsi="Calibri" w:cs="Calibri"/>
          <w:b/>
          <w:color w:val="910D28"/>
          <w:sz w:val="28"/>
          <w:szCs w:val="28"/>
        </w:rPr>
        <w:t>2.</w:t>
      </w:r>
      <w:r w:rsidRPr="00C973D7">
        <w:rPr>
          <w:rFonts w:ascii="Times New Roman" w:eastAsia="Times New Roman" w:hAnsi="Times New Roman" w:cs="Times New Roman"/>
          <w:color w:val="910D28"/>
          <w:sz w:val="28"/>
          <w:szCs w:val="28"/>
        </w:rPr>
        <w:t xml:space="preserve"> </w:t>
      </w:r>
      <w:r w:rsidRPr="00C973D7">
        <w:rPr>
          <w:rFonts w:ascii="Times New Roman" w:eastAsia="Times New Roman" w:hAnsi="Times New Roman" w:cs="Times New Roman"/>
          <w:color w:val="910D28"/>
          <w:sz w:val="28"/>
          <w:szCs w:val="28"/>
        </w:rPr>
        <w:tab/>
      </w:r>
      <w:r w:rsidRPr="00C973D7">
        <w:rPr>
          <w:rFonts w:ascii="Calibri" w:eastAsia="Calibri" w:hAnsi="Calibri" w:cs="Calibri"/>
          <w:b/>
          <w:color w:val="910D28"/>
          <w:sz w:val="28"/>
          <w:szCs w:val="28"/>
        </w:rPr>
        <w:t>Emotional Engagement</w:t>
      </w:r>
    </w:p>
    <w:p w14:paraId="1FEB8968" w14:textId="068D3CE7" w:rsidR="002E5B83" w:rsidRDefault="005005B1">
      <w:pPr>
        <w:ind w:left="720"/>
        <w:rPr>
          <w:rFonts w:ascii="Calibri" w:eastAsia="Calibri" w:hAnsi="Calibri" w:cs="Calibri"/>
        </w:rPr>
      </w:pPr>
      <w:r>
        <w:rPr>
          <w:rFonts w:ascii="Calibri" w:eastAsia="Calibri" w:hAnsi="Calibri" w:cs="Calibri"/>
        </w:rPr>
        <w:t xml:space="preserve">When an employee experiences emotional engagement, they feel emotionally invested in the work that they do and are committed to ensuring that their organization and coworkers </w:t>
      </w:r>
      <w:r w:rsidR="00A94F48">
        <w:rPr>
          <w:rFonts w:ascii="Calibri" w:eastAsia="Calibri" w:hAnsi="Calibri" w:cs="Calibri"/>
        </w:rPr>
        <w:t>are</w:t>
      </w:r>
      <w:r>
        <w:rPr>
          <w:rFonts w:ascii="Calibri" w:eastAsia="Calibri" w:hAnsi="Calibri" w:cs="Calibri"/>
        </w:rPr>
        <w:t xml:space="preserve"> successful (Macey &amp; Schneider, 2008; Shuck et al., 2014, Shuck et al., 2017). The emotionally engaged employee feels an emotional connection to the people with whom they work and is a strong believer in the mission of the organization for which they work. They derive a great deal of personal meaning from the work that they do. They are typically eager to tell others that they take great pride in working for their organization and care deeply about its future.</w:t>
      </w:r>
    </w:p>
    <w:p w14:paraId="2A03135B" w14:textId="77777777" w:rsidR="002E5B83" w:rsidRDefault="00000000">
      <w:pPr>
        <w:ind w:left="720"/>
        <w:rPr>
          <w:rFonts w:ascii="Calibri" w:eastAsia="Calibri" w:hAnsi="Calibri" w:cs="Calibri"/>
          <w:b/>
        </w:rPr>
      </w:pPr>
      <w:r>
        <w:rPr>
          <w:rFonts w:ascii="Calibri" w:eastAsia="Calibri" w:hAnsi="Calibri" w:cs="Calibri"/>
          <w:b/>
        </w:rPr>
        <w:t xml:space="preserve"> </w:t>
      </w:r>
    </w:p>
    <w:p w14:paraId="530A42DA" w14:textId="77777777" w:rsidR="002E5B83" w:rsidRPr="00C973D7" w:rsidRDefault="00000000">
      <w:pPr>
        <w:rPr>
          <w:rFonts w:ascii="Calibri" w:eastAsia="Calibri" w:hAnsi="Calibri" w:cs="Calibri"/>
          <w:b/>
          <w:color w:val="910D28"/>
          <w:sz w:val="28"/>
          <w:szCs w:val="28"/>
        </w:rPr>
      </w:pPr>
      <w:r w:rsidRPr="00C973D7">
        <w:rPr>
          <w:rFonts w:ascii="Calibri" w:eastAsia="Calibri" w:hAnsi="Calibri" w:cs="Calibri"/>
          <w:b/>
          <w:color w:val="910D28"/>
          <w:sz w:val="28"/>
          <w:szCs w:val="28"/>
        </w:rPr>
        <w:t>3.</w:t>
      </w:r>
      <w:r w:rsidRPr="00C973D7">
        <w:rPr>
          <w:rFonts w:ascii="Times New Roman" w:eastAsia="Times New Roman" w:hAnsi="Times New Roman" w:cs="Times New Roman"/>
          <w:color w:val="910D28"/>
          <w:sz w:val="28"/>
          <w:szCs w:val="28"/>
        </w:rPr>
        <w:t xml:space="preserve"> </w:t>
      </w:r>
      <w:r w:rsidRPr="00C973D7">
        <w:rPr>
          <w:rFonts w:ascii="Times New Roman" w:eastAsia="Times New Roman" w:hAnsi="Times New Roman" w:cs="Times New Roman"/>
          <w:color w:val="910D28"/>
          <w:sz w:val="28"/>
          <w:szCs w:val="28"/>
        </w:rPr>
        <w:tab/>
      </w:r>
      <w:r w:rsidRPr="00C973D7">
        <w:rPr>
          <w:rFonts w:ascii="Calibri" w:eastAsia="Calibri" w:hAnsi="Calibri" w:cs="Calibri"/>
          <w:b/>
          <w:color w:val="910D28"/>
          <w:sz w:val="28"/>
          <w:szCs w:val="28"/>
        </w:rPr>
        <w:t>Cognitive Engagement</w:t>
      </w:r>
    </w:p>
    <w:p w14:paraId="4BB39942" w14:textId="4A1F5644" w:rsidR="002E5B83" w:rsidRDefault="00000000">
      <w:pPr>
        <w:ind w:left="720"/>
        <w:rPr>
          <w:rFonts w:ascii="Calibri" w:eastAsia="Calibri" w:hAnsi="Calibri" w:cs="Calibri"/>
        </w:rPr>
      </w:pPr>
      <w:r>
        <w:rPr>
          <w:rFonts w:ascii="Calibri" w:eastAsia="Calibri" w:hAnsi="Calibri" w:cs="Calibri"/>
        </w:rPr>
        <w:t>The third subdimension of employee engagement is cognitive engagement</w:t>
      </w:r>
      <w:r w:rsidR="00A94F48">
        <w:rPr>
          <w:rFonts w:ascii="Calibri" w:eastAsia="Calibri" w:hAnsi="Calibri" w:cs="Calibri"/>
        </w:rPr>
        <w:t>. T</w:t>
      </w:r>
      <w:r>
        <w:rPr>
          <w:rFonts w:ascii="Calibri" w:eastAsia="Calibri" w:hAnsi="Calibri" w:cs="Calibri"/>
        </w:rPr>
        <w:t>his is the “intensity of mental energy” that is used by an employee to help an organization achieve positive outcomes (Rich et al., 2010; Shuck et al., 2014; Shuck et al., 2017). Cognitively engaged employees are capable of remaining attentive and focused while performing various activities in the workplace. Researchers have theorized that someone who is cognitively engaged is able to remain vigilant as they work</w:t>
      </w:r>
      <w:r w:rsidR="00A94F48">
        <w:rPr>
          <w:rFonts w:ascii="Calibri" w:eastAsia="Calibri" w:hAnsi="Calibri" w:cs="Calibri"/>
        </w:rPr>
        <w:t xml:space="preserve"> </w:t>
      </w:r>
      <w:r>
        <w:rPr>
          <w:rFonts w:ascii="Calibri" w:eastAsia="Calibri" w:hAnsi="Calibri" w:cs="Calibri"/>
        </w:rPr>
        <w:t>so that they are able to complete the tasks they have been assigned</w:t>
      </w:r>
      <w:r w:rsidR="00A94F48">
        <w:rPr>
          <w:rFonts w:ascii="Calibri" w:eastAsia="Calibri" w:hAnsi="Calibri" w:cs="Calibri"/>
        </w:rPr>
        <w:t xml:space="preserve"> successfully</w:t>
      </w:r>
      <w:r>
        <w:rPr>
          <w:rFonts w:ascii="Calibri" w:eastAsia="Calibri" w:hAnsi="Calibri" w:cs="Calibri"/>
        </w:rPr>
        <w:t xml:space="preserve"> (Kahn, 1990; Shuck et al., 2017). They also have the ability to recognize when they should question their coworkers’ decisions or provide their coworkers with </w:t>
      </w:r>
      <w:r>
        <w:rPr>
          <w:rFonts w:ascii="Calibri" w:eastAsia="Calibri" w:hAnsi="Calibri" w:cs="Calibri"/>
        </w:rPr>
        <w:lastRenderedPageBreak/>
        <w:t>constructive criticism</w:t>
      </w:r>
      <w:r w:rsidR="00A94F48">
        <w:rPr>
          <w:rFonts w:ascii="Calibri" w:eastAsia="Calibri" w:hAnsi="Calibri" w:cs="Calibri"/>
        </w:rPr>
        <w:t>. T</w:t>
      </w:r>
      <w:r>
        <w:rPr>
          <w:rFonts w:ascii="Calibri" w:eastAsia="Calibri" w:hAnsi="Calibri" w:cs="Calibri"/>
        </w:rPr>
        <w:t>his ability has the potential to enable everyone at the organization to achieve a common goal (Kahn, 1990).</w:t>
      </w:r>
    </w:p>
    <w:p w14:paraId="440B60AD" w14:textId="77777777" w:rsidR="002E5B83" w:rsidRDefault="00000000">
      <w:pPr>
        <w:ind w:left="720"/>
        <w:rPr>
          <w:rFonts w:ascii="Calibri" w:eastAsia="Calibri" w:hAnsi="Calibri" w:cs="Calibri"/>
          <w:b/>
        </w:rPr>
      </w:pPr>
      <w:r>
        <w:rPr>
          <w:rFonts w:ascii="Calibri" w:eastAsia="Calibri" w:hAnsi="Calibri" w:cs="Calibri"/>
          <w:b/>
        </w:rPr>
        <w:t xml:space="preserve"> </w:t>
      </w:r>
    </w:p>
    <w:p w14:paraId="0388B5AD" w14:textId="77777777" w:rsidR="002E5B83" w:rsidRPr="00C973D7" w:rsidRDefault="00000000">
      <w:pPr>
        <w:rPr>
          <w:rFonts w:ascii="Calibri" w:eastAsia="Calibri" w:hAnsi="Calibri" w:cs="Calibri"/>
          <w:b/>
          <w:color w:val="910D28"/>
          <w:sz w:val="28"/>
          <w:szCs w:val="28"/>
        </w:rPr>
      </w:pPr>
      <w:r w:rsidRPr="00C973D7">
        <w:rPr>
          <w:rFonts w:ascii="Calibri" w:eastAsia="Calibri" w:hAnsi="Calibri" w:cs="Calibri"/>
          <w:b/>
          <w:color w:val="910D28"/>
          <w:sz w:val="28"/>
          <w:szCs w:val="28"/>
        </w:rPr>
        <w:t>4.</w:t>
      </w:r>
      <w:r w:rsidRPr="00C973D7">
        <w:rPr>
          <w:rFonts w:ascii="Times New Roman" w:eastAsia="Times New Roman" w:hAnsi="Times New Roman" w:cs="Times New Roman"/>
          <w:color w:val="910D28"/>
          <w:sz w:val="28"/>
          <w:szCs w:val="28"/>
        </w:rPr>
        <w:t xml:space="preserve"> </w:t>
      </w:r>
      <w:r w:rsidRPr="00C973D7">
        <w:rPr>
          <w:rFonts w:ascii="Times New Roman" w:eastAsia="Times New Roman" w:hAnsi="Times New Roman" w:cs="Times New Roman"/>
          <w:color w:val="910D28"/>
          <w:sz w:val="28"/>
          <w:szCs w:val="28"/>
        </w:rPr>
        <w:tab/>
      </w:r>
      <w:r w:rsidRPr="00C973D7">
        <w:rPr>
          <w:rFonts w:ascii="Calibri" w:eastAsia="Calibri" w:hAnsi="Calibri" w:cs="Calibri"/>
          <w:b/>
          <w:color w:val="910D28"/>
          <w:sz w:val="28"/>
          <w:szCs w:val="28"/>
        </w:rPr>
        <w:t>Job Satisfaction</w:t>
      </w:r>
    </w:p>
    <w:p w14:paraId="2EAE65BF" w14:textId="56FED0D9" w:rsidR="002E5B83" w:rsidRDefault="00000000">
      <w:pPr>
        <w:ind w:left="720"/>
        <w:rPr>
          <w:rFonts w:ascii="Calibri" w:eastAsia="Calibri" w:hAnsi="Calibri" w:cs="Calibri"/>
        </w:rPr>
      </w:pPr>
      <w:r>
        <w:rPr>
          <w:rFonts w:ascii="Calibri" w:eastAsia="Calibri" w:hAnsi="Calibri" w:cs="Calibri"/>
        </w:rPr>
        <w:t>A recent study determined the important role that high-performance work practices (HPWP) play in enabling employees to be both engaged in the workplace and satisfied with the work that they do (</w:t>
      </w:r>
      <w:proofErr w:type="spellStart"/>
      <w:r>
        <w:rPr>
          <w:rFonts w:ascii="Calibri" w:eastAsia="Calibri" w:hAnsi="Calibri" w:cs="Calibri"/>
        </w:rPr>
        <w:t>Ogbonnaya</w:t>
      </w:r>
      <w:proofErr w:type="spellEnd"/>
      <w:r>
        <w:rPr>
          <w:rFonts w:ascii="Calibri" w:eastAsia="Calibri" w:hAnsi="Calibri" w:cs="Calibri"/>
        </w:rPr>
        <w:t xml:space="preserve"> &amp; </w:t>
      </w:r>
      <w:proofErr w:type="spellStart"/>
      <w:r>
        <w:rPr>
          <w:rFonts w:ascii="Calibri" w:eastAsia="Calibri" w:hAnsi="Calibri" w:cs="Calibri"/>
        </w:rPr>
        <w:t>Valizade</w:t>
      </w:r>
      <w:proofErr w:type="spellEnd"/>
      <w:r>
        <w:rPr>
          <w:rFonts w:ascii="Calibri" w:eastAsia="Calibri" w:hAnsi="Calibri" w:cs="Calibri"/>
        </w:rPr>
        <w:t xml:space="preserve">, 2018). HPWP are HR practices that are designed to boost morale in the workplace (Appelbaum et al., 2000). Examples of HPWP </w:t>
      </w:r>
      <w:r w:rsidR="005036BD">
        <w:rPr>
          <w:rFonts w:ascii="Calibri" w:eastAsia="Calibri" w:hAnsi="Calibri" w:cs="Calibri"/>
        </w:rPr>
        <w:t>include</w:t>
      </w:r>
      <w:r>
        <w:rPr>
          <w:rFonts w:ascii="Calibri" w:eastAsia="Calibri" w:hAnsi="Calibri" w:cs="Calibri"/>
        </w:rPr>
        <w:t xml:space="preserve"> staff training sessions, performance evaluations, and team collaboration (Jiang et al., 2012; Zhang &amp; Morris, 2014). When HPWP are implemented by organizations, employees often recognize that their employers care about their welfare</w:t>
      </w:r>
      <w:r w:rsidR="00A94F48">
        <w:rPr>
          <w:rFonts w:ascii="Calibri" w:eastAsia="Calibri" w:hAnsi="Calibri" w:cs="Calibri"/>
        </w:rPr>
        <w:t xml:space="preserve">. This sparks </w:t>
      </w:r>
      <w:r>
        <w:rPr>
          <w:rFonts w:ascii="Calibri" w:eastAsia="Calibri" w:hAnsi="Calibri" w:cs="Calibri"/>
        </w:rPr>
        <w:t>in them a sense of job satisfaction that keep</w:t>
      </w:r>
      <w:r w:rsidR="00A94F48">
        <w:rPr>
          <w:rFonts w:ascii="Calibri" w:eastAsia="Calibri" w:hAnsi="Calibri" w:cs="Calibri"/>
        </w:rPr>
        <w:t>s</w:t>
      </w:r>
      <w:r>
        <w:rPr>
          <w:rFonts w:ascii="Calibri" w:eastAsia="Calibri" w:hAnsi="Calibri" w:cs="Calibri"/>
        </w:rPr>
        <w:t xml:space="preserve"> them engaged in the workplace. Job satisfaction is defined as “…the positive emotional state arising from one’s assessment of one’s workplace experiences” (Barling et al., 2003; </w:t>
      </w:r>
      <w:proofErr w:type="spellStart"/>
      <w:r>
        <w:rPr>
          <w:rFonts w:ascii="Calibri" w:eastAsia="Calibri" w:hAnsi="Calibri" w:cs="Calibri"/>
        </w:rPr>
        <w:t>Ogbonnaya</w:t>
      </w:r>
      <w:proofErr w:type="spellEnd"/>
      <w:r>
        <w:rPr>
          <w:rFonts w:ascii="Calibri" w:eastAsia="Calibri" w:hAnsi="Calibri" w:cs="Calibri"/>
        </w:rPr>
        <w:t xml:space="preserve"> &amp; </w:t>
      </w:r>
      <w:proofErr w:type="spellStart"/>
      <w:r>
        <w:rPr>
          <w:rFonts w:ascii="Calibri" w:eastAsia="Calibri" w:hAnsi="Calibri" w:cs="Calibri"/>
        </w:rPr>
        <w:t>Valizade</w:t>
      </w:r>
      <w:proofErr w:type="spellEnd"/>
      <w:r>
        <w:rPr>
          <w:rFonts w:ascii="Calibri" w:eastAsia="Calibri" w:hAnsi="Calibri" w:cs="Calibri"/>
        </w:rPr>
        <w:t xml:space="preserve">, 2018). An employee who </w:t>
      </w:r>
      <w:r w:rsidR="00B11F9C">
        <w:rPr>
          <w:rFonts w:ascii="Calibri" w:eastAsia="Calibri" w:hAnsi="Calibri" w:cs="Calibri"/>
        </w:rPr>
        <w:t>experiences</w:t>
      </w:r>
      <w:r>
        <w:rPr>
          <w:rFonts w:ascii="Calibri" w:eastAsia="Calibri" w:hAnsi="Calibri" w:cs="Calibri"/>
        </w:rPr>
        <w:t xml:space="preserve"> job satisfaction will tell you that they are satisfied with the recognition and support they receive from their colleagues and direct supervisor</w:t>
      </w:r>
      <w:r w:rsidR="00B11F9C">
        <w:rPr>
          <w:rFonts w:ascii="Calibri" w:eastAsia="Calibri" w:hAnsi="Calibri" w:cs="Calibri"/>
        </w:rPr>
        <w:t>s</w:t>
      </w:r>
      <w:r>
        <w:rPr>
          <w:rFonts w:ascii="Calibri" w:eastAsia="Calibri" w:hAnsi="Calibri" w:cs="Calibri"/>
        </w:rPr>
        <w:t xml:space="preserve">. They also feel valued by their organization and </w:t>
      </w:r>
      <w:r w:rsidR="00B11F9C">
        <w:rPr>
          <w:rFonts w:ascii="Calibri" w:eastAsia="Calibri" w:hAnsi="Calibri" w:cs="Calibri"/>
        </w:rPr>
        <w:t xml:space="preserve">are </w:t>
      </w:r>
      <w:r>
        <w:rPr>
          <w:rFonts w:ascii="Calibri" w:eastAsia="Calibri" w:hAnsi="Calibri" w:cs="Calibri"/>
        </w:rPr>
        <w:t>satisfied with the opportunities they have been given to u</w:t>
      </w:r>
      <w:r w:rsidR="005036BD">
        <w:rPr>
          <w:rFonts w:ascii="Calibri" w:eastAsia="Calibri" w:hAnsi="Calibri" w:cs="Calibri"/>
        </w:rPr>
        <w:t>se</w:t>
      </w:r>
      <w:r>
        <w:rPr>
          <w:rFonts w:ascii="Calibri" w:eastAsia="Calibri" w:hAnsi="Calibri" w:cs="Calibri"/>
        </w:rPr>
        <w:t xml:space="preserve"> their skills (</w:t>
      </w:r>
      <w:proofErr w:type="spellStart"/>
      <w:r>
        <w:rPr>
          <w:rFonts w:ascii="Calibri" w:eastAsia="Calibri" w:hAnsi="Calibri" w:cs="Calibri"/>
        </w:rPr>
        <w:t>Ogbonnaya</w:t>
      </w:r>
      <w:proofErr w:type="spellEnd"/>
      <w:r>
        <w:rPr>
          <w:rFonts w:ascii="Calibri" w:eastAsia="Calibri" w:hAnsi="Calibri" w:cs="Calibri"/>
        </w:rPr>
        <w:t xml:space="preserve"> &amp; </w:t>
      </w:r>
      <w:proofErr w:type="spellStart"/>
      <w:r>
        <w:rPr>
          <w:rFonts w:ascii="Calibri" w:eastAsia="Calibri" w:hAnsi="Calibri" w:cs="Calibri"/>
        </w:rPr>
        <w:t>Valizade</w:t>
      </w:r>
      <w:proofErr w:type="spellEnd"/>
      <w:r>
        <w:rPr>
          <w:rFonts w:ascii="Calibri" w:eastAsia="Calibri" w:hAnsi="Calibri" w:cs="Calibri"/>
        </w:rPr>
        <w:t xml:space="preserve"> 2018).</w:t>
      </w:r>
    </w:p>
    <w:p w14:paraId="73821731" w14:textId="77777777" w:rsidR="002E5B83" w:rsidRDefault="00000000">
      <w:pPr>
        <w:ind w:left="720"/>
        <w:rPr>
          <w:rFonts w:ascii="Calibri" w:eastAsia="Calibri" w:hAnsi="Calibri" w:cs="Calibri"/>
          <w:b/>
          <w:color w:val="134F5C"/>
        </w:rPr>
      </w:pPr>
      <w:r>
        <w:rPr>
          <w:rFonts w:ascii="Calibri" w:eastAsia="Calibri" w:hAnsi="Calibri" w:cs="Calibri"/>
          <w:b/>
          <w:color w:val="134F5C"/>
        </w:rPr>
        <w:t xml:space="preserve"> </w:t>
      </w:r>
    </w:p>
    <w:p w14:paraId="60C0A597" w14:textId="77777777" w:rsidR="002E5B83" w:rsidRDefault="00000000">
      <w:pPr>
        <w:rPr>
          <w:rFonts w:ascii="Calibri" w:eastAsia="Calibri" w:hAnsi="Calibri" w:cs="Calibri"/>
          <w:b/>
          <w:color w:val="134F5C"/>
          <w:sz w:val="18"/>
          <w:szCs w:val="18"/>
        </w:rPr>
      </w:pPr>
      <w:r>
        <w:rPr>
          <w:rFonts w:ascii="Calibri" w:eastAsia="Calibri" w:hAnsi="Calibri" w:cs="Calibri"/>
          <w:b/>
          <w:color w:val="134F5C"/>
        </w:rPr>
        <w:t xml:space="preserve"> </w:t>
      </w:r>
      <w:r>
        <w:rPr>
          <w:rFonts w:ascii="Calibri" w:eastAsia="Calibri" w:hAnsi="Calibri" w:cs="Calibri"/>
          <w:b/>
          <w:color w:val="134F5C"/>
          <w:sz w:val="18"/>
          <w:szCs w:val="18"/>
        </w:rPr>
        <w:t>References</w:t>
      </w:r>
    </w:p>
    <w:p w14:paraId="599D762F"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Appelbaum, E., Bailey, T., Berg, P., &amp; </w:t>
      </w:r>
      <w:proofErr w:type="spellStart"/>
      <w:r>
        <w:rPr>
          <w:rFonts w:ascii="Calibri" w:eastAsia="Calibri" w:hAnsi="Calibri" w:cs="Calibri"/>
          <w:color w:val="134F5C"/>
          <w:sz w:val="18"/>
          <w:szCs w:val="18"/>
        </w:rPr>
        <w:t>Kalleberg</w:t>
      </w:r>
      <w:proofErr w:type="spellEnd"/>
      <w:r>
        <w:rPr>
          <w:rFonts w:ascii="Calibri" w:eastAsia="Calibri" w:hAnsi="Calibri" w:cs="Calibri"/>
          <w:color w:val="134F5C"/>
          <w:sz w:val="18"/>
          <w:szCs w:val="18"/>
        </w:rPr>
        <w:t>, A. (2000). Manufacturing advantage: Why high-performance work systems pay off. ILR Press.</w:t>
      </w:r>
    </w:p>
    <w:p w14:paraId="08CBCB3C"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Barling, J., </w:t>
      </w:r>
      <w:proofErr w:type="spellStart"/>
      <w:r>
        <w:rPr>
          <w:rFonts w:ascii="Calibri" w:eastAsia="Calibri" w:hAnsi="Calibri" w:cs="Calibri"/>
          <w:color w:val="134F5C"/>
          <w:sz w:val="18"/>
          <w:szCs w:val="18"/>
        </w:rPr>
        <w:t>Kelloway</w:t>
      </w:r>
      <w:proofErr w:type="spellEnd"/>
      <w:r>
        <w:rPr>
          <w:rFonts w:ascii="Calibri" w:eastAsia="Calibri" w:hAnsi="Calibri" w:cs="Calibri"/>
          <w:color w:val="134F5C"/>
          <w:sz w:val="18"/>
          <w:szCs w:val="18"/>
        </w:rPr>
        <w:t xml:space="preserve">, E. K., &amp; Iverson, R. D. (2003). High-quality work, job satisfaction, and occupational injuries. </w:t>
      </w:r>
      <w:r w:rsidRPr="005036BD">
        <w:rPr>
          <w:rFonts w:ascii="Calibri" w:eastAsia="Calibri" w:hAnsi="Calibri" w:cs="Calibri"/>
          <w:i/>
          <w:iCs/>
          <w:color w:val="134F5C"/>
          <w:sz w:val="18"/>
          <w:szCs w:val="18"/>
        </w:rPr>
        <w:t>Journal of Applied Psychology</w:t>
      </w:r>
      <w:r>
        <w:rPr>
          <w:rFonts w:ascii="Calibri" w:eastAsia="Calibri" w:hAnsi="Calibri" w:cs="Calibri"/>
          <w:color w:val="134F5C"/>
          <w:sz w:val="18"/>
          <w:szCs w:val="18"/>
        </w:rPr>
        <w:t>, 88, 276-283.</w:t>
      </w:r>
    </w:p>
    <w:p w14:paraId="0D406E54"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Jiang, K., </w:t>
      </w:r>
      <w:proofErr w:type="spellStart"/>
      <w:r>
        <w:rPr>
          <w:rFonts w:ascii="Calibri" w:eastAsia="Calibri" w:hAnsi="Calibri" w:cs="Calibri"/>
          <w:color w:val="134F5C"/>
          <w:sz w:val="18"/>
          <w:szCs w:val="18"/>
        </w:rPr>
        <w:t>Lepak</w:t>
      </w:r>
      <w:proofErr w:type="spellEnd"/>
      <w:r>
        <w:rPr>
          <w:rFonts w:ascii="Calibri" w:eastAsia="Calibri" w:hAnsi="Calibri" w:cs="Calibri"/>
          <w:color w:val="134F5C"/>
          <w:sz w:val="18"/>
          <w:szCs w:val="18"/>
        </w:rPr>
        <w:t xml:space="preserve">, D, &amp; Hu, J. (2012). How does human resource management influence organizational outcomes? A meta-analytic investigation of mediating mechanisms. </w:t>
      </w:r>
      <w:r w:rsidRPr="005036BD">
        <w:rPr>
          <w:rFonts w:ascii="Calibri" w:eastAsia="Calibri" w:hAnsi="Calibri" w:cs="Calibri"/>
          <w:i/>
          <w:iCs/>
          <w:color w:val="134F5C"/>
          <w:sz w:val="18"/>
          <w:szCs w:val="18"/>
        </w:rPr>
        <w:t>Academy of Management Journal</w:t>
      </w:r>
      <w:r>
        <w:rPr>
          <w:rFonts w:ascii="Calibri" w:eastAsia="Calibri" w:hAnsi="Calibri" w:cs="Calibri"/>
          <w:color w:val="134F5C"/>
          <w:sz w:val="18"/>
          <w:szCs w:val="18"/>
        </w:rPr>
        <w:t xml:space="preserve">, 55, 1,264-1,294. </w:t>
      </w:r>
    </w:p>
    <w:p w14:paraId="7BD54276"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Kahn, W. (1990). Psychological conditions of personal engagement and disengagement at work. </w:t>
      </w:r>
      <w:r w:rsidRPr="005036BD">
        <w:rPr>
          <w:rFonts w:ascii="Calibri" w:eastAsia="Calibri" w:hAnsi="Calibri" w:cs="Calibri"/>
          <w:i/>
          <w:iCs/>
          <w:color w:val="134F5C"/>
          <w:sz w:val="18"/>
          <w:szCs w:val="18"/>
        </w:rPr>
        <w:t>Academy of Management Journal</w:t>
      </w:r>
      <w:r>
        <w:rPr>
          <w:rFonts w:ascii="Calibri" w:eastAsia="Calibri" w:hAnsi="Calibri" w:cs="Calibri"/>
          <w:color w:val="134F5C"/>
          <w:sz w:val="18"/>
          <w:szCs w:val="18"/>
        </w:rPr>
        <w:t xml:space="preserve">, 33, 692-724. </w:t>
      </w:r>
      <w:proofErr w:type="spellStart"/>
      <w:r>
        <w:rPr>
          <w:rFonts w:ascii="Calibri" w:eastAsia="Calibri" w:hAnsi="Calibri" w:cs="Calibri"/>
          <w:color w:val="134F5C"/>
          <w:sz w:val="18"/>
          <w:szCs w:val="18"/>
        </w:rPr>
        <w:t>doi</w:t>
      </w:r>
      <w:proofErr w:type="spellEnd"/>
      <w:r>
        <w:rPr>
          <w:rFonts w:ascii="Calibri" w:eastAsia="Calibri" w:hAnsi="Calibri" w:cs="Calibri"/>
          <w:color w:val="134F5C"/>
          <w:sz w:val="18"/>
          <w:szCs w:val="18"/>
        </w:rPr>
        <w:t>: 10.2307/256287.</w:t>
      </w:r>
    </w:p>
    <w:p w14:paraId="3F63A0AE"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Macey, W. H., &amp; Schneider, B. (2008). The meaning of employee engagement. </w:t>
      </w:r>
      <w:r w:rsidRPr="005036BD">
        <w:rPr>
          <w:rFonts w:ascii="Calibri" w:eastAsia="Calibri" w:hAnsi="Calibri" w:cs="Calibri"/>
          <w:i/>
          <w:iCs/>
          <w:color w:val="134F5C"/>
          <w:sz w:val="18"/>
          <w:szCs w:val="18"/>
        </w:rPr>
        <w:t>Industrial and Organizational Psychology,</w:t>
      </w:r>
      <w:r>
        <w:rPr>
          <w:rFonts w:ascii="Calibri" w:eastAsia="Calibri" w:hAnsi="Calibri" w:cs="Calibri"/>
          <w:color w:val="134F5C"/>
          <w:sz w:val="18"/>
          <w:szCs w:val="18"/>
        </w:rPr>
        <w:t xml:space="preserve"> 1, 3-30. </w:t>
      </w:r>
      <w:proofErr w:type="spellStart"/>
      <w:r>
        <w:rPr>
          <w:rFonts w:ascii="Calibri" w:eastAsia="Calibri" w:hAnsi="Calibri" w:cs="Calibri"/>
          <w:color w:val="134F5C"/>
          <w:sz w:val="18"/>
          <w:szCs w:val="18"/>
        </w:rPr>
        <w:t>doi</w:t>
      </w:r>
      <w:proofErr w:type="spellEnd"/>
      <w:r>
        <w:rPr>
          <w:rFonts w:ascii="Calibri" w:eastAsia="Calibri" w:hAnsi="Calibri" w:cs="Calibri"/>
          <w:color w:val="134F5C"/>
          <w:sz w:val="18"/>
          <w:szCs w:val="18"/>
        </w:rPr>
        <w:t>: 10.1111/j.1744-6570.2007.</w:t>
      </w:r>
      <w:proofErr w:type="gramStart"/>
      <w:r>
        <w:rPr>
          <w:rFonts w:ascii="Calibri" w:eastAsia="Calibri" w:hAnsi="Calibri" w:cs="Calibri"/>
          <w:color w:val="134F5C"/>
          <w:sz w:val="18"/>
          <w:szCs w:val="18"/>
        </w:rPr>
        <w:t>00083.x.</w:t>
      </w:r>
      <w:proofErr w:type="gramEnd"/>
    </w:p>
    <w:p w14:paraId="6C17F7C5" w14:textId="77777777" w:rsidR="002E5B83" w:rsidRDefault="00000000">
      <w:pPr>
        <w:spacing w:after="100" w:line="240" w:lineRule="auto"/>
        <w:ind w:left="360" w:hanging="320"/>
        <w:rPr>
          <w:rFonts w:ascii="Calibri" w:eastAsia="Calibri" w:hAnsi="Calibri" w:cs="Calibri"/>
          <w:color w:val="134F5C"/>
          <w:sz w:val="18"/>
          <w:szCs w:val="18"/>
        </w:rPr>
      </w:pPr>
      <w:proofErr w:type="spellStart"/>
      <w:r>
        <w:rPr>
          <w:rFonts w:ascii="Calibri" w:eastAsia="Calibri" w:hAnsi="Calibri" w:cs="Calibri"/>
          <w:color w:val="134F5C"/>
          <w:sz w:val="18"/>
          <w:szCs w:val="18"/>
        </w:rPr>
        <w:t>Ogbonnaya</w:t>
      </w:r>
      <w:proofErr w:type="spellEnd"/>
      <w:r>
        <w:rPr>
          <w:rFonts w:ascii="Calibri" w:eastAsia="Calibri" w:hAnsi="Calibri" w:cs="Calibri"/>
          <w:color w:val="134F5C"/>
          <w:sz w:val="18"/>
          <w:szCs w:val="18"/>
        </w:rPr>
        <w:t xml:space="preserve">, C., &amp; </w:t>
      </w:r>
      <w:proofErr w:type="spellStart"/>
      <w:r>
        <w:rPr>
          <w:rFonts w:ascii="Calibri" w:eastAsia="Calibri" w:hAnsi="Calibri" w:cs="Calibri"/>
          <w:color w:val="134F5C"/>
          <w:sz w:val="18"/>
          <w:szCs w:val="18"/>
        </w:rPr>
        <w:t>Valizade</w:t>
      </w:r>
      <w:proofErr w:type="spellEnd"/>
      <w:r>
        <w:rPr>
          <w:rFonts w:ascii="Calibri" w:eastAsia="Calibri" w:hAnsi="Calibri" w:cs="Calibri"/>
          <w:color w:val="134F5C"/>
          <w:sz w:val="18"/>
          <w:szCs w:val="18"/>
        </w:rPr>
        <w:t xml:space="preserve">, D. (2018). High performance work practices, employee outcomes and organizational performance: A 2-1-2 multilevel mediation analysis. </w:t>
      </w:r>
      <w:r w:rsidRPr="005036BD">
        <w:rPr>
          <w:rFonts w:ascii="Calibri" w:eastAsia="Calibri" w:hAnsi="Calibri" w:cs="Calibri"/>
          <w:i/>
          <w:iCs/>
          <w:color w:val="134F5C"/>
          <w:sz w:val="18"/>
          <w:szCs w:val="18"/>
        </w:rPr>
        <w:t>The International Journal of Human Resource Management,</w:t>
      </w:r>
      <w:r>
        <w:rPr>
          <w:rFonts w:ascii="Calibri" w:eastAsia="Calibri" w:hAnsi="Calibri" w:cs="Calibri"/>
          <w:color w:val="134F5C"/>
          <w:sz w:val="18"/>
          <w:szCs w:val="18"/>
        </w:rPr>
        <w:t xml:space="preserve"> 29(2), 239–259.</w:t>
      </w:r>
    </w:p>
    <w:p w14:paraId="6E89221F"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Rich, B. L., </w:t>
      </w:r>
      <w:proofErr w:type="spellStart"/>
      <w:r>
        <w:rPr>
          <w:rFonts w:ascii="Calibri" w:eastAsia="Calibri" w:hAnsi="Calibri" w:cs="Calibri"/>
          <w:color w:val="134F5C"/>
          <w:sz w:val="18"/>
          <w:szCs w:val="18"/>
        </w:rPr>
        <w:t>LePine</w:t>
      </w:r>
      <w:proofErr w:type="spellEnd"/>
      <w:r>
        <w:rPr>
          <w:rFonts w:ascii="Calibri" w:eastAsia="Calibri" w:hAnsi="Calibri" w:cs="Calibri"/>
          <w:color w:val="134F5C"/>
          <w:sz w:val="18"/>
          <w:szCs w:val="18"/>
        </w:rPr>
        <w:t xml:space="preserve">, J. A., &amp; Crawford, E. R. (2010). Job engagement: Antecedents and effects on job performance. </w:t>
      </w:r>
      <w:r w:rsidRPr="005036BD">
        <w:rPr>
          <w:rFonts w:ascii="Calibri" w:eastAsia="Calibri" w:hAnsi="Calibri" w:cs="Calibri"/>
          <w:i/>
          <w:iCs/>
          <w:color w:val="134F5C"/>
          <w:sz w:val="18"/>
          <w:szCs w:val="18"/>
        </w:rPr>
        <w:t>Academy of Management Journal,</w:t>
      </w:r>
      <w:r>
        <w:rPr>
          <w:rFonts w:ascii="Calibri" w:eastAsia="Calibri" w:hAnsi="Calibri" w:cs="Calibri"/>
          <w:color w:val="134F5C"/>
          <w:sz w:val="18"/>
          <w:szCs w:val="18"/>
        </w:rPr>
        <w:t xml:space="preserve"> 53, 617-635. </w:t>
      </w:r>
      <w:proofErr w:type="spellStart"/>
      <w:r>
        <w:rPr>
          <w:rFonts w:ascii="Calibri" w:eastAsia="Calibri" w:hAnsi="Calibri" w:cs="Calibri"/>
          <w:color w:val="134F5C"/>
          <w:sz w:val="18"/>
          <w:szCs w:val="18"/>
        </w:rPr>
        <w:t>doi</w:t>
      </w:r>
      <w:proofErr w:type="spellEnd"/>
      <w:r>
        <w:rPr>
          <w:rFonts w:ascii="Calibri" w:eastAsia="Calibri" w:hAnsi="Calibri" w:cs="Calibri"/>
          <w:color w:val="134F5C"/>
          <w:sz w:val="18"/>
          <w:szCs w:val="18"/>
        </w:rPr>
        <w:t>: 10.5465/AMJ.2010.51468988.</w:t>
      </w:r>
    </w:p>
    <w:p w14:paraId="1DEEEC49"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Shuck, B., Adelson, J. L., &amp; </w:t>
      </w:r>
      <w:proofErr w:type="spellStart"/>
      <w:r>
        <w:rPr>
          <w:rFonts w:ascii="Calibri" w:eastAsia="Calibri" w:hAnsi="Calibri" w:cs="Calibri"/>
          <w:color w:val="134F5C"/>
          <w:sz w:val="18"/>
          <w:szCs w:val="18"/>
        </w:rPr>
        <w:t>Reio</w:t>
      </w:r>
      <w:proofErr w:type="spellEnd"/>
      <w:r>
        <w:rPr>
          <w:rFonts w:ascii="Calibri" w:eastAsia="Calibri" w:hAnsi="Calibri" w:cs="Calibri"/>
          <w:color w:val="134F5C"/>
          <w:sz w:val="18"/>
          <w:szCs w:val="18"/>
        </w:rPr>
        <w:t xml:space="preserve">, T. G. (2017). The Employee Engagement Scale: Initial evidence for construct validity and implications for theory and practice. </w:t>
      </w:r>
      <w:r w:rsidRPr="005036BD">
        <w:rPr>
          <w:rFonts w:ascii="Calibri" w:eastAsia="Calibri" w:hAnsi="Calibri" w:cs="Calibri"/>
          <w:i/>
          <w:iCs/>
          <w:color w:val="134F5C"/>
          <w:sz w:val="18"/>
          <w:szCs w:val="18"/>
        </w:rPr>
        <w:t>Human Resource Management,</w:t>
      </w:r>
      <w:r>
        <w:rPr>
          <w:rFonts w:ascii="Calibri" w:eastAsia="Calibri" w:hAnsi="Calibri" w:cs="Calibri"/>
          <w:color w:val="134F5C"/>
          <w:sz w:val="18"/>
          <w:szCs w:val="18"/>
        </w:rPr>
        <w:t xml:space="preserve"> 56(6), 953-977.</w:t>
      </w:r>
    </w:p>
    <w:p w14:paraId="71EB6B15"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Shuck, B., </w:t>
      </w:r>
      <w:proofErr w:type="spellStart"/>
      <w:r>
        <w:rPr>
          <w:rFonts w:ascii="Calibri" w:eastAsia="Calibri" w:hAnsi="Calibri" w:cs="Calibri"/>
          <w:color w:val="134F5C"/>
          <w:sz w:val="18"/>
          <w:szCs w:val="18"/>
        </w:rPr>
        <w:t>Twyford</w:t>
      </w:r>
      <w:proofErr w:type="spellEnd"/>
      <w:r>
        <w:rPr>
          <w:rFonts w:ascii="Calibri" w:eastAsia="Calibri" w:hAnsi="Calibri" w:cs="Calibri"/>
          <w:color w:val="134F5C"/>
          <w:sz w:val="18"/>
          <w:szCs w:val="18"/>
        </w:rPr>
        <w:t xml:space="preserve">, D., </w:t>
      </w:r>
      <w:proofErr w:type="spellStart"/>
      <w:r>
        <w:rPr>
          <w:rFonts w:ascii="Calibri" w:eastAsia="Calibri" w:hAnsi="Calibri" w:cs="Calibri"/>
          <w:color w:val="134F5C"/>
          <w:sz w:val="18"/>
          <w:szCs w:val="18"/>
        </w:rPr>
        <w:t>Reio</w:t>
      </w:r>
      <w:proofErr w:type="spellEnd"/>
      <w:r>
        <w:rPr>
          <w:rFonts w:ascii="Calibri" w:eastAsia="Calibri" w:hAnsi="Calibri" w:cs="Calibri"/>
          <w:color w:val="134F5C"/>
          <w:sz w:val="18"/>
          <w:szCs w:val="18"/>
        </w:rPr>
        <w:t xml:space="preserve">, T.G., &amp; Shuck, A. (2014). Human resource development practices and employee engagement: Examining the connection with employee turnover intentions. </w:t>
      </w:r>
      <w:r w:rsidRPr="005036BD">
        <w:rPr>
          <w:rFonts w:ascii="Calibri" w:eastAsia="Calibri" w:hAnsi="Calibri" w:cs="Calibri"/>
          <w:i/>
          <w:iCs/>
          <w:color w:val="134F5C"/>
          <w:sz w:val="18"/>
          <w:szCs w:val="18"/>
        </w:rPr>
        <w:t>Human Resource Development Quarterly</w:t>
      </w:r>
      <w:r>
        <w:rPr>
          <w:rFonts w:ascii="Calibri" w:eastAsia="Calibri" w:hAnsi="Calibri" w:cs="Calibri"/>
          <w:color w:val="134F5C"/>
          <w:sz w:val="18"/>
          <w:szCs w:val="18"/>
        </w:rPr>
        <w:t xml:space="preserve">, 25, 239-270. </w:t>
      </w:r>
      <w:proofErr w:type="spellStart"/>
      <w:r>
        <w:rPr>
          <w:rFonts w:ascii="Calibri" w:eastAsia="Calibri" w:hAnsi="Calibri" w:cs="Calibri"/>
          <w:color w:val="134F5C"/>
          <w:sz w:val="18"/>
          <w:szCs w:val="18"/>
        </w:rPr>
        <w:t>doi</w:t>
      </w:r>
      <w:proofErr w:type="spellEnd"/>
      <w:r>
        <w:rPr>
          <w:rFonts w:ascii="Calibri" w:eastAsia="Calibri" w:hAnsi="Calibri" w:cs="Calibri"/>
          <w:color w:val="134F5C"/>
          <w:sz w:val="18"/>
          <w:szCs w:val="18"/>
        </w:rPr>
        <w:t>: 10.1002/hrdq.21190.</w:t>
      </w:r>
    </w:p>
    <w:p w14:paraId="6F77F82A"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Toth, I., </w:t>
      </w:r>
      <w:proofErr w:type="spellStart"/>
      <w:r>
        <w:rPr>
          <w:rFonts w:ascii="Calibri" w:eastAsia="Calibri" w:hAnsi="Calibri" w:cs="Calibri"/>
          <w:color w:val="134F5C"/>
          <w:sz w:val="18"/>
          <w:szCs w:val="18"/>
        </w:rPr>
        <w:t>Heinänen</w:t>
      </w:r>
      <w:proofErr w:type="spellEnd"/>
      <w:r>
        <w:rPr>
          <w:rFonts w:ascii="Calibri" w:eastAsia="Calibri" w:hAnsi="Calibri" w:cs="Calibri"/>
          <w:color w:val="134F5C"/>
          <w:sz w:val="18"/>
          <w:szCs w:val="18"/>
        </w:rPr>
        <w:t xml:space="preserve">, S., &amp; </w:t>
      </w:r>
      <w:proofErr w:type="spellStart"/>
      <w:r>
        <w:rPr>
          <w:rFonts w:ascii="Calibri" w:eastAsia="Calibri" w:hAnsi="Calibri" w:cs="Calibri"/>
          <w:color w:val="134F5C"/>
          <w:sz w:val="18"/>
          <w:szCs w:val="18"/>
        </w:rPr>
        <w:t>Nisula</w:t>
      </w:r>
      <w:proofErr w:type="spellEnd"/>
      <w:r>
        <w:rPr>
          <w:rFonts w:ascii="Calibri" w:eastAsia="Calibri" w:hAnsi="Calibri" w:cs="Calibri"/>
          <w:color w:val="134F5C"/>
          <w:sz w:val="18"/>
          <w:szCs w:val="18"/>
        </w:rPr>
        <w:t xml:space="preserve">, A.-M. (2020). Personal resources and knowledge workers’ job engagement. </w:t>
      </w:r>
      <w:r w:rsidRPr="005036BD">
        <w:rPr>
          <w:rFonts w:ascii="Calibri" w:eastAsia="Calibri" w:hAnsi="Calibri" w:cs="Calibri"/>
          <w:i/>
          <w:iCs/>
          <w:color w:val="134F5C"/>
          <w:sz w:val="18"/>
          <w:szCs w:val="18"/>
        </w:rPr>
        <w:t>International Journal of Organizational Analysis</w:t>
      </w:r>
      <w:r>
        <w:rPr>
          <w:rFonts w:ascii="Calibri" w:eastAsia="Calibri" w:hAnsi="Calibri" w:cs="Calibri"/>
          <w:color w:val="134F5C"/>
          <w:sz w:val="18"/>
          <w:szCs w:val="18"/>
        </w:rPr>
        <w:t>, 28(3), 595–610.</w:t>
      </w:r>
    </w:p>
    <w:p w14:paraId="6878670E" w14:textId="77777777" w:rsidR="002E5B83" w:rsidRDefault="00000000">
      <w:pPr>
        <w:spacing w:after="100" w:line="240" w:lineRule="auto"/>
        <w:ind w:left="360" w:hanging="320"/>
        <w:rPr>
          <w:rFonts w:ascii="Calibri" w:eastAsia="Calibri" w:hAnsi="Calibri" w:cs="Calibri"/>
          <w:color w:val="134F5C"/>
          <w:sz w:val="18"/>
          <w:szCs w:val="18"/>
        </w:rPr>
      </w:pPr>
      <w:r>
        <w:rPr>
          <w:rFonts w:ascii="Calibri" w:eastAsia="Calibri" w:hAnsi="Calibri" w:cs="Calibri"/>
          <w:color w:val="134F5C"/>
          <w:sz w:val="18"/>
          <w:szCs w:val="18"/>
        </w:rPr>
        <w:t xml:space="preserve">Zhang, B., &amp; Morris, J. (2014). High-performance work systems and organizational performance: Testing the mediation role of employee outcomes using evidence from PR China. </w:t>
      </w:r>
      <w:r w:rsidRPr="005036BD">
        <w:rPr>
          <w:rFonts w:ascii="Calibri" w:eastAsia="Calibri" w:hAnsi="Calibri" w:cs="Calibri"/>
          <w:i/>
          <w:iCs/>
          <w:color w:val="134F5C"/>
          <w:sz w:val="18"/>
          <w:szCs w:val="18"/>
        </w:rPr>
        <w:t>The International Journal of Human Resource Management,</w:t>
      </w:r>
      <w:r>
        <w:rPr>
          <w:rFonts w:ascii="Calibri" w:eastAsia="Calibri" w:hAnsi="Calibri" w:cs="Calibri"/>
          <w:color w:val="134F5C"/>
          <w:sz w:val="18"/>
          <w:szCs w:val="18"/>
        </w:rPr>
        <w:t xml:space="preserve"> 25, 68-90.</w:t>
      </w:r>
    </w:p>
    <w:sectPr w:rsidR="002E5B83" w:rsidSect="00A565C3">
      <w:headerReference w:type="even" r:id="rId7"/>
      <w:headerReference w:type="default" r:id="rId8"/>
      <w:footerReference w:type="even" r:id="rId9"/>
      <w:footerReference w:type="default" r:id="rId10"/>
      <w:headerReference w:type="first" r:id="rId11"/>
      <w:pgSz w:w="12240" w:h="15840"/>
      <w:pgMar w:top="216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19E6" w14:textId="77777777" w:rsidR="00D07889" w:rsidRDefault="00D07889">
      <w:pPr>
        <w:spacing w:line="240" w:lineRule="auto"/>
      </w:pPr>
      <w:r>
        <w:separator/>
      </w:r>
    </w:p>
  </w:endnote>
  <w:endnote w:type="continuationSeparator" w:id="0">
    <w:p w14:paraId="051F65BF" w14:textId="77777777" w:rsidR="00D07889" w:rsidRDefault="00D07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10D7" w14:textId="77777777" w:rsidR="002E5B83" w:rsidRDefault="002E5B8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9983" w14:textId="77777777" w:rsidR="002E5B83" w:rsidRDefault="002E5B8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E98B" w14:textId="77777777" w:rsidR="00D07889" w:rsidRDefault="00D07889">
      <w:pPr>
        <w:spacing w:line="240" w:lineRule="auto"/>
      </w:pPr>
      <w:r>
        <w:separator/>
      </w:r>
    </w:p>
  </w:footnote>
  <w:footnote w:type="continuationSeparator" w:id="0">
    <w:p w14:paraId="069CF0CC" w14:textId="77777777" w:rsidR="00D07889" w:rsidRDefault="00D078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CC7E" w14:textId="77777777" w:rsidR="002E5B83" w:rsidRDefault="002E5B8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6651" w14:textId="356011EA" w:rsidR="002E5B83" w:rsidRDefault="00A565C3">
    <w:r>
      <w:rPr>
        <w:noProof/>
      </w:rPr>
      <w:drawing>
        <wp:anchor distT="0" distB="0" distL="114300" distR="114300" simplePos="0" relativeHeight="251661312" behindDoc="1" locked="0" layoutInCell="1" allowOverlap="1" wp14:anchorId="419C18BF" wp14:editId="13EAF113">
          <wp:simplePos x="0" y="0"/>
          <wp:positionH relativeFrom="margin">
            <wp:posOffset>-914400</wp:posOffset>
          </wp:positionH>
          <wp:positionV relativeFrom="margin">
            <wp:posOffset>-1371600</wp:posOffset>
          </wp:positionV>
          <wp:extent cx="7772400" cy="10058448"/>
          <wp:effectExtent l="0" t="0" r="0" b="0"/>
          <wp:wrapNone/>
          <wp:docPr id="751949090" name="Picture 751949090" descr="A picture containing screensh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45196" name="Picture 1" descr="A picture containing screenshot,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684B" w14:textId="7686EF80" w:rsidR="002E5B83" w:rsidRDefault="00A565C3">
    <w:r>
      <w:rPr>
        <w:noProof/>
      </w:rPr>
      <w:drawing>
        <wp:anchor distT="0" distB="0" distL="114300" distR="114300" simplePos="0" relativeHeight="251659264" behindDoc="1" locked="0" layoutInCell="1" allowOverlap="1" wp14:anchorId="319EE78E" wp14:editId="62622494">
          <wp:simplePos x="0" y="0"/>
          <wp:positionH relativeFrom="margin">
            <wp:posOffset>-914400</wp:posOffset>
          </wp:positionH>
          <wp:positionV relativeFrom="margin">
            <wp:posOffset>-1371600</wp:posOffset>
          </wp:positionV>
          <wp:extent cx="7772400" cy="10058448"/>
          <wp:effectExtent l="0" t="0" r="0" b="0"/>
          <wp:wrapNone/>
          <wp:docPr id="872026225" name="Picture 872026225" descr="A picture containing screensh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45196" name="Picture 1" descr="A picture containing screenshot,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83"/>
    <w:rsid w:val="002E5B83"/>
    <w:rsid w:val="00442FFB"/>
    <w:rsid w:val="005005B1"/>
    <w:rsid w:val="005036BD"/>
    <w:rsid w:val="007202E7"/>
    <w:rsid w:val="00723290"/>
    <w:rsid w:val="009C456A"/>
    <w:rsid w:val="00A02226"/>
    <w:rsid w:val="00A565C3"/>
    <w:rsid w:val="00A94F48"/>
    <w:rsid w:val="00B11F9C"/>
    <w:rsid w:val="00C973D7"/>
    <w:rsid w:val="00D07889"/>
    <w:rsid w:val="00DA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B1CC"/>
  <w15:docId w15:val="{3D5158DA-A886-5C47-ABA1-06A4909C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55C70"/>
    <w:pPr>
      <w:tabs>
        <w:tab w:val="center" w:pos="4680"/>
        <w:tab w:val="right" w:pos="9360"/>
      </w:tabs>
      <w:spacing w:line="240" w:lineRule="auto"/>
    </w:pPr>
  </w:style>
  <w:style w:type="character" w:customStyle="1" w:styleId="HeaderChar">
    <w:name w:val="Header Char"/>
    <w:basedOn w:val="DefaultParagraphFont"/>
    <w:link w:val="Header"/>
    <w:uiPriority w:val="99"/>
    <w:rsid w:val="00E55C70"/>
  </w:style>
  <w:style w:type="paragraph" w:styleId="Footer">
    <w:name w:val="footer"/>
    <w:basedOn w:val="Normal"/>
    <w:link w:val="FooterChar"/>
    <w:uiPriority w:val="99"/>
    <w:unhideWhenUsed/>
    <w:rsid w:val="00E55C70"/>
    <w:pPr>
      <w:tabs>
        <w:tab w:val="center" w:pos="4680"/>
        <w:tab w:val="right" w:pos="9360"/>
      </w:tabs>
      <w:spacing w:line="240" w:lineRule="auto"/>
    </w:pPr>
  </w:style>
  <w:style w:type="character" w:customStyle="1" w:styleId="FooterChar">
    <w:name w:val="Footer Char"/>
    <w:basedOn w:val="DefaultParagraphFont"/>
    <w:link w:val="Footer"/>
    <w:uiPriority w:val="99"/>
    <w:rsid w:val="00E5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RtgVHYc1dYVvCrHvis4i5jdpJA==">AMUW2mVFrW3OOjjdVoyvJZI+6lRr846Ik0UzAuEmdzIX7RWeIY23GD+oC1wJzUVriBezuBVJl9PyyahdoBKryImzaGnNJ7p4onBbvkOKrspgnGHzFEy/OZc=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4</cp:revision>
  <dcterms:created xsi:type="dcterms:W3CDTF">2023-05-23T16:06:00Z</dcterms:created>
  <dcterms:modified xsi:type="dcterms:W3CDTF">2023-05-25T19:40:00Z</dcterms:modified>
</cp:coreProperties>
</file>