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1D9565E" w:rsidR="00BB6353" w:rsidRPr="009F107C" w:rsidRDefault="009F107C">
      <w:pPr>
        <w:rPr>
          <w:rFonts w:ascii="Calibri" w:eastAsia="Calibri" w:hAnsi="Calibri" w:cs="Calibri"/>
          <w:sz w:val="108"/>
          <w:szCs w:val="108"/>
        </w:rPr>
      </w:pPr>
      <w:r w:rsidRPr="009F107C">
        <w:rPr>
          <w:rFonts w:ascii="Calibri" w:hAnsi="Calibri" w:cs="Calibri"/>
          <w:sz w:val="108"/>
          <w:szCs w:val="108"/>
        </w:rPr>
        <w:t>When employees feel strongly connected to the vision and clearly see how their role aligns with the strategic priorities, they feel valuable and motivated to do well.</w:t>
      </w:r>
      <w:r w:rsidR="00000000" w:rsidRPr="009F107C">
        <w:rPr>
          <w:rFonts w:ascii="Calibri" w:hAnsi="Calibri" w:cs="Calibri"/>
          <w:sz w:val="108"/>
          <w:szCs w:val="108"/>
        </w:rPr>
        <w:br w:type="page"/>
      </w:r>
    </w:p>
    <w:p w14:paraId="4250B6D6" w14:textId="77777777" w:rsidR="009F107C" w:rsidRDefault="009F107C" w:rsidP="009F107C">
      <w:pPr>
        <w:rPr>
          <w:sz w:val="80"/>
          <w:szCs w:val="80"/>
        </w:rPr>
      </w:pPr>
    </w:p>
    <w:p w14:paraId="00000002" w14:textId="2D830FBA" w:rsidR="00BB6353" w:rsidRPr="009F107C" w:rsidRDefault="009F107C" w:rsidP="009F107C">
      <w:pPr>
        <w:rPr>
          <w:rFonts w:asciiTheme="majorHAnsi" w:eastAsia="Calibr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t>Setting organizational strategies and goals is only as valuable as they are clearly communicated.</w:t>
      </w:r>
      <w:r w:rsidR="00000000" w:rsidRPr="009F107C">
        <w:rPr>
          <w:rFonts w:asciiTheme="majorHAnsi" w:hAnsiTheme="majorHAnsi" w:cstheme="majorHAnsi"/>
          <w:sz w:val="108"/>
          <w:szCs w:val="108"/>
        </w:rPr>
        <w:br w:type="page"/>
      </w:r>
    </w:p>
    <w:p w14:paraId="00000003" w14:textId="7FA6CC5F" w:rsidR="00BB6353" w:rsidRPr="009F107C" w:rsidRDefault="009F107C">
      <w:pPr>
        <w:rPr>
          <w:rFonts w:asciiTheme="majorHAnsi" w:eastAsia="Calibr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lastRenderedPageBreak/>
        <w:t>Leading the organization in collaborative goal setting and shared assessment of goal progress builds a community of trust and investment.</w:t>
      </w:r>
      <w:r w:rsidR="00000000" w:rsidRPr="009F107C">
        <w:rPr>
          <w:rFonts w:asciiTheme="majorHAnsi" w:hAnsiTheme="majorHAnsi" w:cstheme="majorHAnsi"/>
          <w:sz w:val="108"/>
          <w:szCs w:val="108"/>
        </w:rPr>
        <w:br w:type="page"/>
      </w:r>
    </w:p>
    <w:p w14:paraId="51E034BF" w14:textId="466CCB03" w:rsidR="009F107C" w:rsidRPr="009F107C" w:rsidRDefault="009F107C" w:rsidP="009F107C">
      <w:pPr>
        <w:rPr>
          <w:rFonts w:asciiTheme="majorHAnsi" w:hAnsiTheme="majorHAnsi" w:cstheme="majorHAnsi"/>
          <w:sz w:val="108"/>
          <w:szCs w:val="108"/>
        </w:rPr>
      </w:pPr>
      <w:r w:rsidRPr="009F107C">
        <w:rPr>
          <w:rFonts w:asciiTheme="majorHAnsi" w:hAnsiTheme="majorHAnsi" w:cstheme="majorHAnsi"/>
          <w:sz w:val="108"/>
          <w:szCs w:val="108"/>
        </w:rPr>
        <w:lastRenderedPageBreak/>
        <w:t>Every communication is an opportunity to clarify expectations and scaffold employee</w:t>
      </w:r>
      <w:r w:rsidR="00DC03D5">
        <w:rPr>
          <w:rFonts w:asciiTheme="majorHAnsi" w:hAnsiTheme="majorHAnsi" w:cstheme="majorHAnsi"/>
          <w:sz w:val="108"/>
          <w:szCs w:val="108"/>
        </w:rPr>
        <w:t xml:space="preserve"> </w:t>
      </w:r>
      <w:r w:rsidRPr="009F107C">
        <w:rPr>
          <w:rFonts w:asciiTheme="majorHAnsi" w:hAnsiTheme="majorHAnsi" w:cstheme="majorHAnsi"/>
          <w:sz w:val="108"/>
          <w:szCs w:val="108"/>
        </w:rPr>
        <w:t>achievement in alignment with the organizational goals.</w:t>
      </w:r>
    </w:p>
    <w:p w14:paraId="00000005" w14:textId="77777777" w:rsidR="00BB6353" w:rsidRPr="009F107C" w:rsidRDefault="00BB6353">
      <w:pPr>
        <w:rPr>
          <w:rFonts w:ascii="Calibri" w:eastAsia="Calibri" w:hAnsi="Calibri" w:cs="Calibri"/>
          <w:sz w:val="108"/>
          <w:szCs w:val="108"/>
        </w:rPr>
      </w:pPr>
    </w:p>
    <w:sectPr w:rsidR="00BB6353" w:rsidRPr="009F107C">
      <w:headerReference w:type="even" r:id="rId7"/>
      <w:headerReference w:type="default" r:id="rId8"/>
      <w:footerReference w:type="default" r:id="rId9"/>
      <w:headerReference w:type="first" r:id="rId10"/>
      <w:pgSz w:w="24480" w:h="158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BA80" w14:textId="77777777" w:rsidR="004337C1" w:rsidRDefault="004337C1">
      <w:pPr>
        <w:spacing w:line="240" w:lineRule="auto"/>
      </w:pPr>
      <w:r>
        <w:separator/>
      </w:r>
    </w:p>
  </w:endnote>
  <w:endnote w:type="continuationSeparator" w:id="0">
    <w:p w14:paraId="1236933B" w14:textId="77777777" w:rsidR="004337C1" w:rsidRDefault="00433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21D8A717" w:rsidR="00BB6353" w:rsidRDefault="007B68E4">
    <w:pPr>
      <w:jc w:val="right"/>
      <w:rPr>
        <w:rFonts w:ascii="Calibri" w:eastAsia="Calibri" w:hAnsi="Calibri" w:cs="Calibri"/>
        <w:b/>
        <w:color w:val="980000"/>
        <w:sz w:val="24"/>
        <w:szCs w:val="24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B0251" wp14:editId="63E9CF3A">
              <wp:simplePos x="0" y="0"/>
              <wp:positionH relativeFrom="column">
                <wp:posOffset>2374477</wp:posOffset>
              </wp:positionH>
              <wp:positionV relativeFrom="paragraph">
                <wp:posOffset>-410845</wp:posOffset>
              </wp:positionV>
              <wp:extent cx="10117455" cy="498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745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EAD61" w14:textId="7B183996" w:rsidR="00745AF8" w:rsidRPr="00745AF8" w:rsidRDefault="00000000" w:rsidP="00745AF8">
                          <w:pPr>
                            <w:pStyle w:val="LessonFooter"/>
                            <w:rPr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E3A386AAF27D8647BE662508A84D8D0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F107C">
                                <w:rPr>
                                  <w:sz w:val="48"/>
                                  <w:szCs w:val="48"/>
                                </w:rPr>
                                <w:t>DIRECTING ENERGY: LEADERSHIP SUPPORTIVENESS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B02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6.95pt;margin-top:-32.35pt;width:796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" filled="f" stroked="f">
              <v:textbox>
                <w:txbxContent>
                  <w:p w14:paraId="618EAD61" w14:textId="7B183996" w:rsidR="00745AF8" w:rsidRPr="00745AF8" w:rsidRDefault="00000000" w:rsidP="00745AF8">
                    <w:pPr>
                      <w:pStyle w:val="LessonFooter"/>
                      <w:rPr>
                        <w:sz w:val="48"/>
                        <w:szCs w:val="48"/>
                      </w:rPr>
                    </w:pPr>
                    <w:sdt>
                      <w:sdtPr>
                        <w:rPr>
                          <w:sz w:val="48"/>
                          <w:szCs w:val="48"/>
                        </w:rPr>
                        <w:alias w:val="Title"/>
                        <w:tag w:val=""/>
                        <w:id w:val="1902256145"/>
                        <w:placeholder>
                          <w:docPart w:val="E3A386AAF27D8647BE662508A84D8D0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107C">
                          <w:rPr>
                            <w:sz w:val="48"/>
                            <w:szCs w:val="48"/>
                          </w:rPr>
                          <w:t>DIRECTING ENERGY: LEADERSHIP SUPPORTIVENESS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745AF8" w:rsidRPr="00293785">
      <w:rPr>
        <w:noProof/>
      </w:rPr>
      <w:drawing>
        <wp:anchor distT="0" distB="0" distL="114300" distR="114300" simplePos="0" relativeHeight="251660288" behindDoc="1" locked="0" layoutInCell="1" allowOverlap="1" wp14:anchorId="2BAEBA32" wp14:editId="0F8ED52E">
          <wp:simplePos x="0" y="0"/>
          <wp:positionH relativeFrom="column">
            <wp:posOffset>2593340</wp:posOffset>
          </wp:positionH>
          <wp:positionV relativeFrom="paragraph">
            <wp:posOffset>-411480</wp:posOffset>
          </wp:positionV>
          <wp:extent cx="11139170" cy="7715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17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E5C8" w14:textId="77777777" w:rsidR="004337C1" w:rsidRDefault="004337C1">
      <w:pPr>
        <w:spacing w:line="240" w:lineRule="auto"/>
      </w:pPr>
      <w:r>
        <w:separator/>
      </w:r>
    </w:p>
  </w:footnote>
  <w:footnote w:type="continuationSeparator" w:id="0">
    <w:p w14:paraId="5F5E4BF7" w14:textId="77777777" w:rsidR="004337C1" w:rsidRDefault="00433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D2A9" w14:textId="77777777" w:rsidR="00092B6B" w:rsidRDefault="0009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8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9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A" w14:textId="77777777" w:rsidR="00BB6353" w:rsidRDefault="00BB6353">
    <w:pPr>
      <w:rPr>
        <w:rFonts w:ascii="Calibri" w:eastAsia="Calibri" w:hAnsi="Calibri" w:cs="Calibri"/>
        <w:b/>
        <w:color w:val="980000"/>
        <w:sz w:val="30"/>
        <w:szCs w:val="30"/>
      </w:rPr>
    </w:pPr>
  </w:p>
  <w:p w14:paraId="0000000B" w14:textId="77777777" w:rsidR="00BB6353" w:rsidRPr="00745AF8" w:rsidRDefault="00000000">
    <w:pPr>
      <w:rPr>
        <w:sz w:val="64"/>
        <w:szCs w:val="64"/>
      </w:rPr>
    </w:pPr>
    <w:r w:rsidRPr="00745AF8">
      <w:rPr>
        <w:rFonts w:ascii="Calibri" w:eastAsia="Calibri" w:hAnsi="Calibri" w:cs="Calibri"/>
        <w:b/>
        <w:sz w:val="64"/>
        <w:szCs w:val="64"/>
      </w:rPr>
      <w:t>MAGNETIC STATEMENTS</w:t>
    </w:r>
    <w:r w:rsidRPr="00745AF8">
      <w:rPr>
        <w:rFonts w:ascii="Calibri" w:eastAsia="Calibri" w:hAnsi="Calibri" w:cs="Calibri"/>
        <w:b/>
        <w:sz w:val="64"/>
        <w:szCs w:val="6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BF1" w14:textId="77777777" w:rsidR="00092B6B" w:rsidRDefault="00092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53"/>
    <w:rsid w:val="0006362C"/>
    <w:rsid w:val="00092B6B"/>
    <w:rsid w:val="000C13DB"/>
    <w:rsid w:val="001D3F9F"/>
    <w:rsid w:val="00340B49"/>
    <w:rsid w:val="004337C1"/>
    <w:rsid w:val="00745AF8"/>
    <w:rsid w:val="007B68E4"/>
    <w:rsid w:val="009E5325"/>
    <w:rsid w:val="009F107C"/>
    <w:rsid w:val="00BB6353"/>
    <w:rsid w:val="00CA1D90"/>
    <w:rsid w:val="00CC3484"/>
    <w:rsid w:val="00DC03D5"/>
    <w:rsid w:val="00E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825C0"/>
  <w15:docId w15:val="{0D16F4F2-6999-40EB-804F-813B982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6B"/>
  </w:style>
  <w:style w:type="paragraph" w:styleId="Footer">
    <w:name w:val="footer"/>
    <w:basedOn w:val="Normal"/>
    <w:link w:val="FooterChar"/>
    <w:uiPriority w:val="99"/>
    <w:unhideWhenUsed/>
    <w:rsid w:val="00092B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6B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45AF8"/>
    <w:pPr>
      <w:jc w:val="right"/>
    </w:pPr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customStyle="1" w:styleId="LessonFooterChar">
    <w:name w:val="Lesson Footer Char"/>
    <w:basedOn w:val="DefaultParagraphFont"/>
    <w:link w:val="LessonFooter"/>
    <w:rsid w:val="00745AF8"/>
    <w:rPr>
      <w:rFonts w:ascii="Calibri" w:eastAsiaTheme="majorEastAsia" w:hAnsi="Calibri" w:cs="Calibri"/>
      <w:b/>
      <w:caps/>
      <w:color w:val="2D2D2D"/>
      <w:kern w:val="28"/>
      <w:sz w:val="24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45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386AAF27D8647BE662508A84D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6ED6-89F7-8A49-BE52-32E31C67EFAA}"/>
      </w:docPartPr>
      <w:docPartBody>
        <w:p w:rsidR="00000000" w:rsidRDefault="00F16798" w:rsidP="00F16798">
          <w:pPr>
            <w:pStyle w:val="E3A386AAF27D8647BE662508A84D8D0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D"/>
    <w:rsid w:val="00217D49"/>
    <w:rsid w:val="002827A7"/>
    <w:rsid w:val="00551628"/>
    <w:rsid w:val="00F16798"/>
    <w:rsid w:val="00F26FEE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798"/>
    <w:rPr>
      <w:color w:val="808080"/>
    </w:rPr>
  </w:style>
  <w:style w:type="paragraph" w:customStyle="1" w:styleId="0724EFB3F2FBBB4A9CBE8877FD5C9713">
    <w:name w:val="0724EFB3F2FBBB4A9CBE8877FD5C9713"/>
    <w:rsid w:val="00F63B5D"/>
  </w:style>
  <w:style w:type="paragraph" w:customStyle="1" w:styleId="E3A386AAF27D8647BE662508A84D8D03">
    <w:name w:val="E3A386AAF27D8647BE662508A84D8D03"/>
    <w:rsid w:val="00F1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FF7911-7FEF-FA41-95F6-CF4CDC3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LEADERSHIP SUPPORTIVENESS</dc:title>
  <dc:creator>K20 Center</dc:creator>
  <cp:lastModifiedBy>Gracia, Ann M.</cp:lastModifiedBy>
  <cp:revision>4</cp:revision>
  <dcterms:created xsi:type="dcterms:W3CDTF">2023-06-01T20:02:00Z</dcterms:created>
  <dcterms:modified xsi:type="dcterms:W3CDTF">2023-06-01T20:05:00Z</dcterms:modified>
</cp:coreProperties>
</file>