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0FF9" w14:textId="517C4053" w:rsidR="00C26698" w:rsidRPr="00262515" w:rsidRDefault="00262515">
      <w:pPr>
        <w:widowControl w:val="0"/>
        <w:spacing w:after="200" w:line="240" w:lineRule="auto"/>
        <w:rPr>
          <w:rFonts w:ascii="Calibri" w:eastAsia="Calibri" w:hAnsi="Calibri" w:cs="Calibri"/>
          <w:b/>
          <w:sz w:val="32"/>
          <w:szCs w:val="32"/>
        </w:rPr>
      </w:pPr>
      <w:r w:rsidRPr="00262515">
        <w:rPr>
          <w:noProof/>
          <w:sz w:val="32"/>
          <w:szCs w:val="32"/>
        </w:rPr>
        <w:drawing>
          <wp:anchor distT="114300" distB="114300" distL="114300" distR="114300" simplePos="0" relativeHeight="251658240" behindDoc="0" locked="0" layoutInCell="1" hidden="0" allowOverlap="1" wp14:anchorId="1D6ABA4B" wp14:editId="429E7410">
            <wp:simplePos x="0" y="0"/>
            <wp:positionH relativeFrom="column">
              <wp:posOffset>4977633</wp:posOffset>
            </wp:positionH>
            <wp:positionV relativeFrom="paragraph">
              <wp:posOffset>-48355</wp:posOffset>
            </wp:positionV>
            <wp:extent cx="975995" cy="975995"/>
            <wp:effectExtent l="114300" t="114300" r="109855" b="14795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75995" cy="9759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443EB" w:rsidRPr="00262515">
        <w:rPr>
          <w:rFonts w:ascii="Calibri" w:eastAsia="Calibri" w:hAnsi="Calibri" w:cs="Calibri"/>
          <w:b/>
          <w:sz w:val="32"/>
          <w:szCs w:val="32"/>
        </w:rPr>
        <w:t>LESSON CLOSURE</w:t>
      </w:r>
      <w:r w:rsidR="009F2207" w:rsidRPr="00262515">
        <w:rPr>
          <w:rFonts w:ascii="Calibri" w:eastAsia="Calibri" w:hAnsi="Calibri" w:cs="Calibri"/>
          <w:b/>
          <w:sz w:val="32"/>
          <w:szCs w:val="32"/>
        </w:rPr>
        <w:t xml:space="preserve"> READING:</w:t>
      </w:r>
      <w:r w:rsidR="009F2207" w:rsidRPr="00262515">
        <w:rPr>
          <w:rFonts w:ascii="Calibri" w:eastAsia="Calibri" w:hAnsi="Calibri" w:cs="Calibri"/>
          <w:b/>
          <w:sz w:val="32"/>
          <w:szCs w:val="32"/>
        </w:rPr>
        <w:br/>
      </w:r>
      <w:r w:rsidR="002728E5" w:rsidRPr="00262515">
        <w:rPr>
          <w:rFonts w:ascii="Calibri" w:eastAsia="Calibri" w:hAnsi="Calibri" w:cs="Calibri"/>
          <w:b/>
          <w:sz w:val="32"/>
          <w:szCs w:val="32"/>
        </w:rPr>
        <w:t>CHOOSE YOUR OWN ADVENTURE</w:t>
      </w:r>
    </w:p>
    <w:p w14:paraId="2005A025" w14:textId="174C3EC7" w:rsidR="00C26698" w:rsidRPr="00262515" w:rsidRDefault="002728E5">
      <w:pPr>
        <w:widowControl w:val="0"/>
        <w:spacing w:after="200" w:line="240" w:lineRule="auto"/>
        <w:rPr>
          <w:rFonts w:ascii="Calibri" w:eastAsia="Calibri" w:hAnsi="Calibri" w:cs="Calibri"/>
          <w:sz w:val="24"/>
          <w:szCs w:val="24"/>
        </w:rPr>
      </w:pPr>
      <w:r w:rsidRPr="00262515">
        <w:rPr>
          <w:rFonts w:ascii="Calibri" w:eastAsia="Calibri" w:hAnsi="Calibri" w:cs="Calibri"/>
          <w:sz w:val="24"/>
          <w:szCs w:val="24"/>
        </w:rPr>
        <w:t>Choose a closure strategy from the</w:t>
      </w:r>
      <w:r w:rsidRPr="00262515">
        <w:rPr>
          <w:rFonts w:ascii="Calibri" w:eastAsia="Calibri" w:hAnsi="Calibri" w:cs="Calibri"/>
          <w:color w:val="1155CC"/>
          <w:sz w:val="24"/>
          <w:szCs w:val="24"/>
          <w:u w:val="single"/>
        </w:rPr>
        <w:t xml:space="preserve"> </w:t>
      </w:r>
      <w:hyperlink r:id="rId7">
        <w:r w:rsidRPr="00627848">
          <w:rPr>
            <w:rFonts w:ascii="Calibri" w:eastAsia="Calibri" w:hAnsi="Calibri" w:cs="Calibri"/>
            <w:color w:val="4F81BD" w:themeColor="accent1"/>
            <w:sz w:val="24"/>
            <w:szCs w:val="24"/>
            <w:u w:val="single"/>
          </w:rPr>
          <w:t>Exit S</w:t>
        </w:r>
        <w:r w:rsidRPr="00627848">
          <w:rPr>
            <w:rFonts w:ascii="Calibri" w:eastAsia="Calibri" w:hAnsi="Calibri" w:cs="Calibri"/>
            <w:color w:val="4F81BD" w:themeColor="accent1"/>
            <w:sz w:val="24"/>
            <w:szCs w:val="24"/>
            <w:u w:val="single"/>
          </w:rPr>
          <w:t>t</w:t>
        </w:r>
        <w:r w:rsidRPr="00627848">
          <w:rPr>
            <w:rFonts w:ascii="Calibri" w:eastAsia="Calibri" w:hAnsi="Calibri" w:cs="Calibri"/>
            <w:color w:val="4F81BD" w:themeColor="accent1"/>
            <w:sz w:val="24"/>
            <w:szCs w:val="24"/>
            <w:u w:val="single"/>
          </w:rPr>
          <w:t>rategies Collection</w:t>
        </w:r>
      </w:hyperlink>
      <w:r w:rsidRPr="00627848">
        <w:rPr>
          <w:rFonts w:ascii="Calibri" w:eastAsia="Calibri" w:hAnsi="Calibri" w:cs="Calibri"/>
          <w:color w:val="4F81BD" w:themeColor="accent1"/>
          <w:sz w:val="24"/>
          <w:szCs w:val="24"/>
        </w:rPr>
        <w:t xml:space="preserve"> </w:t>
      </w:r>
      <w:r w:rsidRPr="00262515">
        <w:rPr>
          <w:rFonts w:ascii="Calibri" w:eastAsia="Calibri" w:hAnsi="Calibri" w:cs="Calibri"/>
          <w:sz w:val="24"/>
          <w:szCs w:val="24"/>
        </w:rPr>
        <w:t xml:space="preserve">to practice with </w:t>
      </w:r>
      <w:r w:rsidR="00262515">
        <w:rPr>
          <w:rFonts w:ascii="Calibri" w:eastAsia="Calibri" w:hAnsi="Calibri" w:cs="Calibri"/>
          <w:sz w:val="24"/>
          <w:szCs w:val="24"/>
        </w:rPr>
        <w:br/>
      </w:r>
      <w:r w:rsidRPr="00262515">
        <w:rPr>
          <w:rFonts w:ascii="Calibri" w:eastAsia="Calibri" w:hAnsi="Calibri" w:cs="Calibri"/>
          <w:sz w:val="24"/>
          <w:szCs w:val="24"/>
        </w:rPr>
        <w:t>the following excerpt.</w:t>
      </w:r>
      <w:r w:rsidRPr="00262515">
        <w:rPr>
          <w:rFonts w:ascii="Calibri" w:eastAsia="Calibri" w:hAnsi="Calibri" w:cs="Calibri"/>
          <w:i/>
          <w:sz w:val="24"/>
          <w:szCs w:val="24"/>
        </w:rPr>
        <w:t xml:space="preserve"> </w:t>
      </w:r>
      <w:r w:rsidRPr="00262515">
        <w:rPr>
          <w:rFonts w:ascii="Calibri" w:eastAsia="Calibri" w:hAnsi="Calibri" w:cs="Calibri"/>
          <w:sz w:val="24"/>
          <w:szCs w:val="24"/>
        </w:rPr>
        <w:t>Share which strategy you tried and your answer from it.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26698" w14:paraId="5585E164" w14:textId="77777777" w:rsidTr="00627848">
        <w:tc>
          <w:tcPr>
            <w:tcW w:w="93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top w:w="100" w:type="dxa"/>
              <w:left w:w="100" w:type="dxa"/>
              <w:bottom w:w="100" w:type="dxa"/>
              <w:right w:w="100" w:type="dxa"/>
            </w:tcMar>
          </w:tcPr>
          <w:p w14:paraId="12DD795F" w14:textId="77777777" w:rsidR="00C26698" w:rsidRDefault="002728E5">
            <w:pPr>
              <w:widowControl w:val="0"/>
              <w:spacing w:line="240" w:lineRule="auto"/>
              <w:rPr>
                <w:rFonts w:ascii="Calibri" w:eastAsia="Calibri" w:hAnsi="Calibri" w:cs="Calibri"/>
                <w:b/>
                <w:color w:val="991B1E"/>
                <w:sz w:val="24"/>
                <w:szCs w:val="24"/>
              </w:rPr>
            </w:pPr>
            <w:r>
              <w:rPr>
                <w:rFonts w:ascii="Calibri" w:eastAsia="Calibri" w:hAnsi="Calibri" w:cs="Calibri"/>
                <w:b/>
                <w:color w:val="991B1E"/>
                <w:sz w:val="24"/>
                <w:szCs w:val="24"/>
              </w:rPr>
              <w:t>Strategy name:</w:t>
            </w:r>
          </w:p>
        </w:tc>
      </w:tr>
      <w:tr w:rsidR="00C26698" w14:paraId="729345C4" w14:textId="77777777" w:rsidTr="00627848">
        <w:trPr>
          <w:trHeight w:val="2706"/>
        </w:trPr>
        <w:tc>
          <w:tcPr>
            <w:tcW w:w="93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top w:w="100" w:type="dxa"/>
              <w:left w:w="100" w:type="dxa"/>
              <w:bottom w:w="100" w:type="dxa"/>
              <w:right w:w="100" w:type="dxa"/>
            </w:tcMar>
          </w:tcPr>
          <w:p w14:paraId="0C2495CB" w14:textId="77777777" w:rsidR="00C26698" w:rsidRDefault="002728E5">
            <w:pPr>
              <w:widowControl w:val="0"/>
              <w:spacing w:line="240" w:lineRule="auto"/>
              <w:rPr>
                <w:rFonts w:ascii="Calibri" w:eastAsia="Calibri" w:hAnsi="Calibri" w:cs="Calibri"/>
                <w:color w:val="134F5C"/>
                <w:sz w:val="24"/>
                <w:szCs w:val="24"/>
              </w:rPr>
            </w:pPr>
            <w:r>
              <w:rPr>
                <w:rFonts w:ascii="Calibri" w:eastAsia="Calibri" w:hAnsi="Calibri" w:cs="Calibri"/>
                <w:b/>
                <w:color w:val="991B1E"/>
                <w:sz w:val="24"/>
                <w:szCs w:val="24"/>
              </w:rPr>
              <w:t>Your response:</w:t>
            </w:r>
          </w:p>
        </w:tc>
      </w:tr>
    </w:tbl>
    <w:p w14:paraId="16E852D0" w14:textId="77777777" w:rsidR="00C26698" w:rsidRDefault="00C26698">
      <w:pPr>
        <w:rPr>
          <w:rFonts w:ascii="Calibri" w:eastAsia="Calibri" w:hAnsi="Calibri" w:cs="Calibri"/>
          <w:b/>
          <w:sz w:val="18"/>
          <w:szCs w:val="18"/>
        </w:rPr>
        <w:sectPr w:rsidR="00C26698" w:rsidSect="00A65ED2">
          <w:footerReference w:type="default" r:id="rId8"/>
          <w:footerReference w:type="first" r:id="rId9"/>
          <w:pgSz w:w="12240" w:h="15840"/>
          <w:pgMar w:top="1440" w:right="1440" w:bottom="1440" w:left="1440" w:header="720" w:footer="720" w:gutter="0"/>
          <w:pgNumType w:start="1"/>
          <w:cols w:space="720"/>
          <w:titlePg/>
        </w:sectPr>
      </w:pPr>
    </w:p>
    <w:p w14:paraId="69BDAA89" w14:textId="77777777" w:rsidR="00C26698" w:rsidRPr="00627848" w:rsidRDefault="002728E5">
      <w:pPr>
        <w:spacing w:after="200"/>
        <w:rPr>
          <w:rFonts w:ascii="Calibri" w:eastAsia="Calibri" w:hAnsi="Calibri" w:cs="Calibri"/>
          <w:b/>
          <w:color w:val="000000" w:themeColor="text1"/>
          <w:sz w:val="28"/>
          <w:szCs w:val="28"/>
        </w:rPr>
      </w:pPr>
      <w:r w:rsidRPr="00627848">
        <w:rPr>
          <w:rFonts w:ascii="Calibri" w:eastAsia="Calibri" w:hAnsi="Calibri" w:cs="Calibri"/>
          <w:b/>
          <w:color w:val="000000" w:themeColor="text1"/>
          <w:sz w:val="18"/>
          <w:szCs w:val="18"/>
        </w:rPr>
        <w:t xml:space="preserve">Excerpt from: </w:t>
      </w:r>
      <w:r w:rsidRPr="00627848">
        <w:rPr>
          <w:rFonts w:ascii="Calibri" w:eastAsia="Calibri" w:hAnsi="Calibri" w:cs="Calibri"/>
          <w:color w:val="000000" w:themeColor="text1"/>
          <w:sz w:val="18"/>
          <w:szCs w:val="18"/>
        </w:rPr>
        <w:t xml:space="preserve">Ganske, K. (2017). Lesson closure: An important piece of the Student Learning Puzzle. </w:t>
      </w:r>
      <w:r w:rsidRPr="00627848">
        <w:rPr>
          <w:rFonts w:ascii="Calibri" w:eastAsia="Calibri" w:hAnsi="Calibri" w:cs="Calibri"/>
          <w:i/>
          <w:color w:val="000000" w:themeColor="text1"/>
          <w:sz w:val="18"/>
          <w:szCs w:val="18"/>
        </w:rPr>
        <w:t>The Reading Teacher</w:t>
      </w:r>
      <w:r w:rsidRPr="00627848">
        <w:rPr>
          <w:rFonts w:ascii="Calibri" w:eastAsia="Calibri" w:hAnsi="Calibri" w:cs="Calibri"/>
          <w:color w:val="000000" w:themeColor="text1"/>
          <w:sz w:val="18"/>
          <w:szCs w:val="18"/>
        </w:rPr>
        <w:t xml:space="preserve">, </w:t>
      </w:r>
      <w:r w:rsidRPr="00627848">
        <w:rPr>
          <w:rFonts w:ascii="Calibri" w:eastAsia="Calibri" w:hAnsi="Calibri" w:cs="Calibri"/>
          <w:i/>
          <w:color w:val="000000" w:themeColor="text1"/>
          <w:sz w:val="18"/>
          <w:szCs w:val="18"/>
        </w:rPr>
        <w:t>71</w:t>
      </w:r>
      <w:r w:rsidRPr="00627848">
        <w:rPr>
          <w:rFonts w:ascii="Calibri" w:eastAsia="Calibri" w:hAnsi="Calibri" w:cs="Calibri"/>
          <w:color w:val="000000" w:themeColor="text1"/>
          <w:sz w:val="18"/>
          <w:szCs w:val="18"/>
        </w:rPr>
        <w:t>(1), 95–100.</w:t>
      </w:r>
    </w:p>
    <w:p w14:paraId="2C4433B8" w14:textId="3F66A63F" w:rsidR="00C26698" w:rsidRPr="004C6F14" w:rsidRDefault="002728E5">
      <w:pPr>
        <w:rPr>
          <w:rFonts w:ascii="Calibri" w:eastAsia="Calibri" w:hAnsi="Calibri" w:cs="Calibri"/>
          <w:b/>
          <w:i/>
          <w:color w:val="980000"/>
          <w:sz w:val="28"/>
          <w:szCs w:val="28"/>
        </w:rPr>
      </w:pPr>
      <w:r w:rsidRPr="004C6F14">
        <w:rPr>
          <w:rFonts w:ascii="Calibri" w:eastAsia="Calibri" w:hAnsi="Calibri" w:cs="Calibri"/>
          <w:b/>
          <w:color w:val="980000"/>
          <w:sz w:val="28"/>
          <w:szCs w:val="28"/>
        </w:rPr>
        <w:t>What Do We Know About Lesson Closure?</w:t>
      </w:r>
    </w:p>
    <w:p w14:paraId="4F80ED8A" w14:textId="77777777" w:rsidR="00C26698" w:rsidRDefault="002728E5" w:rsidP="005E1DC1">
      <w:pPr>
        <w:jc w:val="both"/>
        <w:rPr>
          <w:rFonts w:ascii="Calibri" w:eastAsia="Calibri" w:hAnsi="Calibri" w:cs="Calibri"/>
        </w:rPr>
      </w:pPr>
      <w:r>
        <w:rPr>
          <w:rFonts w:ascii="Calibri" w:eastAsia="Calibri" w:hAnsi="Calibri" w:cs="Calibri"/>
        </w:rPr>
        <w:t xml:space="preserve">These experiences have piqued my wonderings about lessons, which end, but often without closure. By closure, I mean, as described in one Merriam-Webster definition, a “satisfying ending” (Closure, n.d.), not just an ending. The medical definition of closure provides a useful analogy. Here, closure refers to “a drawing together of edges or parts to form a united integument” (Closure, n.d.), or outer whole. I believe that five minutes of closure can be sufficient pause to help students bring together key takeaways from the lesson, to think about what was important in the lesson, and to consider how their learning can help them be better readers and writers beyond this lesson and this day. This boost of awareness is important for ensuring that students realize why the activities they engaged in and the time they spent matter. </w:t>
      </w:r>
    </w:p>
    <w:p w14:paraId="20259CDA" w14:textId="77777777" w:rsidR="00C26698" w:rsidRDefault="002728E5" w:rsidP="005E1DC1">
      <w:pPr>
        <w:spacing w:before="200"/>
        <w:jc w:val="both"/>
        <w:rPr>
          <w:rFonts w:ascii="Calibri" w:eastAsia="Calibri" w:hAnsi="Calibri" w:cs="Calibri"/>
        </w:rPr>
      </w:pPr>
      <w:r>
        <w:rPr>
          <w:rFonts w:ascii="Calibri" w:eastAsia="Calibri" w:hAnsi="Calibri" w:cs="Calibri"/>
        </w:rPr>
        <w:t xml:space="preserve">Curious to discover what we know about closure, I searched Google Scholar and the ERIC database for articles that included the search terms lesson and closure. It was evident that closure matters. For instance, there was a piece published in </w:t>
      </w:r>
      <w:r w:rsidRPr="00FD00B3">
        <w:rPr>
          <w:rFonts w:ascii="Calibri" w:eastAsia="Calibri" w:hAnsi="Calibri" w:cs="Calibri"/>
          <w:i/>
          <w:iCs/>
        </w:rPr>
        <w:t>Instructor</w:t>
      </w:r>
      <w:r>
        <w:rPr>
          <w:rFonts w:ascii="Calibri" w:eastAsia="Calibri" w:hAnsi="Calibri" w:cs="Calibri"/>
        </w:rPr>
        <w:t xml:space="preserve">, a popular practitioner journal, titled “Closure: The Fine Art of Making Learning Stick” (Phillips, 1987). In it, the author noted that “closure helps learners know what they learned, why they learned it, and how it can be useful” (p. 37). However, research findings were extremely limited, and like the piece just mentioned, those that did surface tended to be from decades ago—the 1980s and 1990s—or they related to physical education and sports. One study is interesting in the insight it yields into the importance of student involvement. This secondary science study found that closure increased student performance on next-day and weekly tests of content when students were actively involved in the closure; namely, writing responses rather than passively looking and listening while the teacher read and projected key takeaways (Cavanaugh, Heward, &amp; Donelson, 1996). </w:t>
      </w:r>
    </w:p>
    <w:p w14:paraId="5DFF293E" w14:textId="77777777" w:rsidR="00C26698" w:rsidRDefault="002728E5" w:rsidP="005E1DC1">
      <w:pPr>
        <w:spacing w:before="200"/>
        <w:jc w:val="both"/>
        <w:rPr>
          <w:rFonts w:ascii="Calibri" w:eastAsia="Calibri" w:hAnsi="Calibri" w:cs="Calibri"/>
        </w:rPr>
      </w:pPr>
      <w:r>
        <w:rPr>
          <w:rFonts w:ascii="Calibri" w:eastAsia="Calibri" w:hAnsi="Calibri" w:cs="Calibri"/>
        </w:rPr>
        <w:lastRenderedPageBreak/>
        <w:t xml:space="preserve">Most of the articles that I uncovered addressed teaching ideas, not research; online articles followed a similar pattern, although some of the ideas presented seemed worthwhile and engaging. Check outcome of the 36 closure techniques presented by Wolf and Supon (1994), the 22 described in an Edutopia blog post (Finley, 2015), or the five technology-related ideas detailed by </w:t>
      </w:r>
      <w:r w:rsidRPr="00FD00B3">
        <w:rPr>
          <w:rFonts w:ascii="Calibri" w:eastAsia="Calibri" w:hAnsi="Calibri" w:cs="Calibri"/>
          <w:i/>
          <w:iCs/>
        </w:rPr>
        <w:t>The Techie Teacher</w:t>
      </w:r>
      <w:r>
        <w:rPr>
          <w:rFonts w:ascii="Calibri" w:eastAsia="Calibri" w:hAnsi="Calibri" w:cs="Calibri"/>
        </w:rPr>
        <w:t xml:space="preserve"> (Smith, 2016). </w:t>
      </w:r>
    </w:p>
    <w:p w14:paraId="20DE0565" w14:textId="77777777" w:rsidR="00C26698" w:rsidRDefault="002728E5" w:rsidP="005E1DC1">
      <w:pPr>
        <w:spacing w:before="200"/>
        <w:jc w:val="both"/>
        <w:rPr>
          <w:rFonts w:ascii="Calibri" w:eastAsia="Calibri" w:hAnsi="Calibri" w:cs="Calibri"/>
        </w:rPr>
      </w:pPr>
      <w:r>
        <w:rPr>
          <w:rFonts w:ascii="Calibri" w:eastAsia="Calibri" w:hAnsi="Calibri" w:cs="Calibri"/>
        </w:rPr>
        <w:t xml:space="preserve">Because my quest to uncover a research base turned up few results, I reached out to colleagues in the field to see if I was overlooking something; their conclusions were the same. “So, why the dearth of research?” I wondered, when classroom practice does not validate that effective lesson closure is the norm. On the contrary, closure is often squeezed into a mere ending: “We’ll take this up again tomorrow,” or “It’s time to put away ___.” Do we assume that closure has been addressed by the investigations that followed Hunter and Russell’s (1977) inclusion of closure in lesson design or that it is currently being taken care of by the widely accepted </w:t>
      </w:r>
      <w:r w:rsidRPr="00752951">
        <w:rPr>
          <w:rFonts w:ascii="Calibri" w:eastAsia="Calibri" w:hAnsi="Calibri" w:cs="Calibri"/>
          <w:i/>
          <w:iCs/>
        </w:rPr>
        <w:t>Understanding by Design</w:t>
      </w:r>
      <w:r>
        <w:rPr>
          <w:rFonts w:ascii="Calibri" w:eastAsia="Calibri" w:hAnsi="Calibri" w:cs="Calibri"/>
        </w:rPr>
        <w:t xml:space="preserve"> model for instruction (Wiggins &amp; McTighe, 2005)? Is there a perception that any ending is closure, or have we largely forgotten about closure? Regardless of the why, lesson closure is critically important. Students need closure to help them give their learning lasting relevance for their lives, to reflect, to solidify and internalize what they’ve learned (e.g., Lia, 2014; Pollock, 2007; Wolf &amp; Supon, 1994). This requires more than statements by teachers of what has been learned and why; students need to be actively involved, as Cavanaugh et al. (1996) concluded. </w:t>
      </w:r>
    </w:p>
    <w:p w14:paraId="0081AD51" w14:textId="4924B022" w:rsidR="00C26698" w:rsidRDefault="002728E5" w:rsidP="005E1DC1">
      <w:pPr>
        <w:spacing w:before="200"/>
        <w:jc w:val="both"/>
        <w:rPr>
          <w:rFonts w:ascii="Calibri" w:eastAsia="Calibri" w:hAnsi="Calibri" w:cs="Calibri"/>
        </w:rPr>
      </w:pPr>
      <w:r>
        <w:rPr>
          <w:rFonts w:ascii="Calibri" w:eastAsia="Calibri" w:hAnsi="Calibri" w:cs="Calibri"/>
        </w:rPr>
        <w:t xml:space="preserve">With activities </w:t>
      </w:r>
      <w:r w:rsidR="001F316C">
        <w:rPr>
          <w:rFonts w:ascii="Calibri" w:eastAsia="Calibri" w:hAnsi="Calibri" w:cs="Calibri"/>
        </w:rPr>
        <w:t>like [</w:t>
      </w:r>
      <w:r>
        <w:rPr>
          <w:rFonts w:ascii="Calibri" w:eastAsia="Calibri" w:hAnsi="Calibri" w:cs="Calibri"/>
        </w:rPr>
        <w:t xml:space="preserve">a student-written classroom newsletter], students engage in closure and synthesis through writing, which serves as a tool for their thinking and sharing of their thinking (Applebee, 1977; National Council of Teachers of English, 2016). The young newsletter writers were motivated through what Brophy (2008) termed </w:t>
      </w:r>
      <w:r w:rsidRPr="002F3AAB">
        <w:rPr>
          <w:rFonts w:ascii="Calibri" w:eastAsia="Calibri" w:hAnsi="Calibri" w:cs="Calibri"/>
          <w:u w:val="single"/>
        </w:rPr>
        <w:t>social milieu</w:t>
      </w:r>
      <w:r>
        <w:rPr>
          <w:rFonts w:ascii="Calibri" w:eastAsia="Calibri" w:hAnsi="Calibri" w:cs="Calibri"/>
        </w:rPr>
        <w:t xml:space="preserve">, </w:t>
      </w:r>
      <w:r w:rsidRPr="002F3AAB">
        <w:rPr>
          <w:rFonts w:ascii="Calibri" w:eastAsia="Calibri" w:hAnsi="Calibri" w:cs="Calibri"/>
          <w:u w:val="single"/>
        </w:rPr>
        <w:t>expectancy</w:t>
      </w:r>
      <w:r>
        <w:rPr>
          <w:rFonts w:ascii="Calibri" w:eastAsia="Calibri" w:hAnsi="Calibri" w:cs="Calibri"/>
        </w:rPr>
        <w:t xml:space="preserve">, and </w:t>
      </w:r>
      <w:r w:rsidRPr="002F3AAB">
        <w:rPr>
          <w:rFonts w:ascii="Calibri" w:eastAsia="Calibri" w:hAnsi="Calibri" w:cs="Calibri"/>
          <w:u w:val="single"/>
        </w:rPr>
        <w:t>value</w:t>
      </w:r>
      <w:r>
        <w:rPr>
          <w:rFonts w:ascii="Calibri" w:eastAsia="Calibri" w:hAnsi="Calibri" w:cs="Calibri"/>
        </w:rPr>
        <w:t>. The social aspects of newsletter writing, the collaborative work, and the opportunity to talk through their thinking with peers and the teacher ignited students’ interests. The weekly routine enabled them to know what to expect and to build a sense of competence. This sense of competence, the sharing of their product, and the collaboration made the experience pleasurable and one in which students were eager to reengage, thereby fueling a positive learning cycle.</w:t>
      </w:r>
    </w:p>
    <w:p w14:paraId="09E2A3B1" w14:textId="77777777" w:rsidR="00C26698" w:rsidRDefault="00C26698" w:rsidP="005E1DC1">
      <w:pPr>
        <w:jc w:val="both"/>
        <w:rPr>
          <w:rFonts w:ascii="Calibri" w:eastAsia="Calibri" w:hAnsi="Calibri" w:cs="Calibri"/>
        </w:rPr>
      </w:pPr>
    </w:p>
    <w:p w14:paraId="56AE77AC" w14:textId="77777777" w:rsidR="00C26698" w:rsidRDefault="002728E5" w:rsidP="005E1DC1">
      <w:pPr>
        <w:jc w:val="both"/>
        <w:rPr>
          <w:rFonts w:ascii="Calibri" w:eastAsia="Calibri" w:hAnsi="Calibri" w:cs="Calibri"/>
          <w:b/>
          <w:color w:val="991B1E"/>
          <w:sz w:val="28"/>
          <w:szCs w:val="28"/>
        </w:rPr>
      </w:pPr>
      <w:r>
        <w:rPr>
          <w:rFonts w:ascii="Calibri" w:eastAsia="Calibri" w:hAnsi="Calibri" w:cs="Calibri"/>
          <w:b/>
          <w:color w:val="991B1E"/>
          <w:sz w:val="28"/>
          <w:szCs w:val="28"/>
        </w:rPr>
        <w:t>Concluding Comments</w:t>
      </w:r>
    </w:p>
    <w:p w14:paraId="7E31D391" w14:textId="77777777" w:rsidR="00C26698" w:rsidRDefault="002728E5" w:rsidP="005E1DC1">
      <w:pPr>
        <w:jc w:val="both"/>
        <w:rPr>
          <w:rFonts w:ascii="Calibri" w:eastAsia="Calibri" w:hAnsi="Calibri" w:cs="Calibri"/>
        </w:rPr>
      </w:pPr>
      <w:r>
        <w:rPr>
          <w:rFonts w:ascii="Calibri" w:eastAsia="Calibri" w:hAnsi="Calibri" w:cs="Calibri"/>
        </w:rPr>
        <w:t xml:space="preserve">As in a puzzle, an effective lesson has many pieces that must fit together. We typically give considerable thought to how we initiate lessons: activate or build background knowledge, teach essential vocabulary, engage learners, and set a purpose for the lesson. And we carefully select tasks or activities and texts for use during the lesson. But closure is often given short shrift or omitted entirely. We need to be sure we plan time to cycle back to </w:t>
      </w:r>
      <w:proofErr w:type="gramStart"/>
      <w:r>
        <w:rPr>
          <w:rFonts w:ascii="Calibri" w:eastAsia="Calibri" w:hAnsi="Calibri" w:cs="Calibri"/>
        </w:rPr>
        <w:t xml:space="preserve">the </w:t>
      </w:r>
      <w:r w:rsidRPr="00F15F7E">
        <w:rPr>
          <w:rFonts w:ascii="Calibri" w:eastAsia="Calibri" w:hAnsi="Calibri" w:cs="Calibri"/>
          <w:i/>
          <w:iCs/>
        </w:rPr>
        <w:t>what</w:t>
      </w:r>
      <w:proofErr w:type="gramEnd"/>
      <w:r>
        <w:rPr>
          <w:rFonts w:ascii="Calibri" w:eastAsia="Calibri" w:hAnsi="Calibri" w:cs="Calibri"/>
        </w:rPr>
        <w:t xml:space="preserve">, </w:t>
      </w:r>
      <w:r w:rsidRPr="00F15F7E">
        <w:rPr>
          <w:rFonts w:ascii="Calibri" w:eastAsia="Calibri" w:hAnsi="Calibri" w:cs="Calibri"/>
          <w:i/>
          <w:iCs/>
        </w:rPr>
        <w:t>why</w:t>
      </w:r>
      <w:r>
        <w:rPr>
          <w:rFonts w:ascii="Calibri" w:eastAsia="Calibri" w:hAnsi="Calibri" w:cs="Calibri"/>
        </w:rPr>
        <w:t xml:space="preserve">, and </w:t>
      </w:r>
      <w:proofErr w:type="gramStart"/>
      <w:r w:rsidRPr="00F15F7E">
        <w:rPr>
          <w:rFonts w:ascii="Calibri" w:eastAsia="Calibri" w:hAnsi="Calibri" w:cs="Calibri"/>
          <w:i/>
          <w:iCs/>
        </w:rPr>
        <w:t>how</w:t>
      </w:r>
      <w:r>
        <w:rPr>
          <w:rFonts w:ascii="Calibri" w:eastAsia="Calibri" w:hAnsi="Calibri" w:cs="Calibri"/>
        </w:rPr>
        <w:t xml:space="preserve"> of</w:t>
      </w:r>
      <w:proofErr w:type="gramEnd"/>
      <w:r>
        <w:rPr>
          <w:rFonts w:ascii="Calibri" w:eastAsia="Calibri" w:hAnsi="Calibri" w:cs="Calibri"/>
        </w:rPr>
        <w:t xml:space="preserve"> students’ learning to help them actively synthesize the parts into a whole. Lesson closure provides space for students to digest and assimilate their learning and to realize why it all matters. Closure is a component of planning and teaching that we can’t afford to</w:t>
      </w:r>
    </w:p>
    <w:p w14:paraId="588E4E2C" w14:textId="22524210" w:rsidR="000B40F3" w:rsidRDefault="002728E5" w:rsidP="005E1DC1">
      <w:pPr>
        <w:jc w:val="both"/>
        <w:rPr>
          <w:rFonts w:ascii="Calibri" w:eastAsia="Calibri" w:hAnsi="Calibri" w:cs="Calibri"/>
        </w:rPr>
      </w:pPr>
      <w:r>
        <w:rPr>
          <w:rFonts w:ascii="Calibri" w:eastAsia="Calibri" w:hAnsi="Calibri" w:cs="Calibri"/>
        </w:rPr>
        <w:t>leave out</w:t>
      </w:r>
      <w:r w:rsidR="000B40F3">
        <w:rPr>
          <w:rFonts w:ascii="Calibri" w:eastAsia="Calibri" w:hAnsi="Calibri" w:cs="Calibri"/>
        </w:rPr>
        <w:t>.</w:t>
      </w:r>
    </w:p>
    <w:p w14:paraId="2BABF5CC" w14:textId="77777777" w:rsidR="005E1DC1" w:rsidRDefault="005E1DC1">
      <w:pPr>
        <w:rPr>
          <w:rFonts w:ascii="Calibri" w:eastAsia="Calibri" w:hAnsi="Calibri" w:cs="Calibri"/>
          <w:b/>
          <w:bCs/>
          <w:color w:val="943634" w:themeColor="accent2" w:themeShade="BF"/>
          <w:sz w:val="24"/>
          <w:szCs w:val="24"/>
        </w:rPr>
      </w:pPr>
      <w:r>
        <w:rPr>
          <w:rFonts w:ascii="Calibri" w:eastAsia="Calibri" w:hAnsi="Calibri" w:cs="Calibri"/>
          <w:b/>
          <w:bCs/>
          <w:color w:val="943634" w:themeColor="accent2" w:themeShade="BF"/>
          <w:sz w:val="24"/>
          <w:szCs w:val="24"/>
        </w:rPr>
        <w:br w:type="page"/>
      </w:r>
    </w:p>
    <w:p w14:paraId="788EA6CB" w14:textId="49145274" w:rsidR="000B40F3" w:rsidRPr="004C6F14" w:rsidRDefault="000B40F3" w:rsidP="000B40F3">
      <w:pPr>
        <w:rPr>
          <w:rFonts w:ascii="Calibri" w:eastAsia="Calibri" w:hAnsi="Calibri" w:cs="Calibri"/>
          <w:b/>
          <w:bCs/>
          <w:color w:val="943634" w:themeColor="accent2" w:themeShade="BF"/>
          <w:sz w:val="28"/>
          <w:szCs w:val="28"/>
        </w:rPr>
      </w:pPr>
      <w:r w:rsidRPr="004C6F14">
        <w:rPr>
          <w:rFonts w:ascii="Calibri" w:eastAsia="Calibri" w:hAnsi="Calibri" w:cs="Calibri"/>
          <w:b/>
          <w:bCs/>
          <w:color w:val="943634" w:themeColor="accent2" w:themeShade="BF"/>
          <w:sz w:val="28"/>
          <w:szCs w:val="28"/>
        </w:rPr>
        <w:lastRenderedPageBreak/>
        <w:t>References</w:t>
      </w:r>
    </w:p>
    <w:p w14:paraId="002B7B48" w14:textId="3AD6A86F" w:rsidR="00E04385" w:rsidRPr="00A92EF2" w:rsidRDefault="00E04385" w:rsidP="00E12EA5">
      <w:pPr>
        <w:spacing w:after="200" w:line="240" w:lineRule="auto"/>
        <w:rPr>
          <w:rFonts w:asciiTheme="majorHAnsi" w:eastAsia="Calibri" w:hAnsiTheme="majorHAnsi" w:cstheme="majorHAnsi"/>
          <w:color w:val="000000"/>
        </w:rPr>
      </w:pPr>
      <w:r w:rsidRPr="00A92EF2">
        <w:rPr>
          <w:rFonts w:asciiTheme="majorHAnsi" w:eastAsia="Calibri" w:hAnsiTheme="majorHAnsi" w:cstheme="majorHAnsi"/>
          <w:color w:val="000000"/>
        </w:rPr>
        <w:t xml:space="preserve">Applebee, Arthur. (1977). ERIC/RCS Report: Writing across the </w:t>
      </w:r>
      <w:r w:rsidR="009D5767">
        <w:rPr>
          <w:rFonts w:asciiTheme="majorHAnsi" w:eastAsia="Calibri" w:hAnsiTheme="majorHAnsi" w:cstheme="majorHAnsi"/>
          <w:color w:val="000000"/>
        </w:rPr>
        <w:t>c</w:t>
      </w:r>
      <w:r w:rsidRPr="00A92EF2">
        <w:rPr>
          <w:rFonts w:asciiTheme="majorHAnsi" w:eastAsia="Calibri" w:hAnsiTheme="majorHAnsi" w:cstheme="majorHAnsi"/>
          <w:color w:val="000000"/>
        </w:rPr>
        <w:t xml:space="preserve">urriculum: The London Projects. </w:t>
      </w:r>
      <w:r w:rsidRPr="00A92EF2">
        <w:rPr>
          <w:rFonts w:asciiTheme="majorHAnsi" w:eastAsia="Calibri" w:hAnsiTheme="majorHAnsi" w:cstheme="majorHAnsi"/>
          <w:i/>
          <w:iCs/>
          <w:color w:val="000000"/>
        </w:rPr>
        <w:t xml:space="preserve">The English Journal, </w:t>
      </w:r>
      <w:r w:rsidRPr="00A92EF2">
        <w:rPr>
          <w:rFonts w:asciiTheme="majorHAnsi" w:eastAsia="Calibri" w:hAnsiTheme="majorHAnsi" w:cstheme="majorHAnsi"/>
          <w:color w:val="000000"/>
        </w:rPr>
        <w:t>66</w:t>
      </w:r>
      <w:r w:rsidR="00A93E9F" w:rsidRPr="00A92EF2">
        <w:rPr>
          <w:rFonts w:asciiTheme="majorHAnsi" w:eastAsia="Calibri" w:hAnsiTheme="majorHAnsi" w:cstheme="majorHAnsi"/>
          <w:color w:val="000000"/>
        </w:rPr>
        <w:t>(</w:t>
      </w:r>
      <w:r w:rsidRPr="00A92EF2">
        <w:rPr>
          <w:rFonts w:asciiTheme="majorHAnsi" w:eastAsia="Calibri" w:hAnsiTheme="majorHAnsi" w:cstheme="majorHAnsi"/>
          <w:color w:val="000000"/>
        </w:rPr>
        <w:t>81</w:t>
      </w:r>
      <w:r w:rsidR="00A93E9F" w:rsidRPr="00A92EF2">
        <w:rPr>
          <w:rFonts w:asciiTheme="majorHAnsi" w:eastAsia="Calibri" w:hAnsiTheme="majorHAnsi" w:cstheme="majorHAnsi"/>
          <w:color w:val="000000"/>
        </w:rPr>
        <w:t>).</w:t>
      </w:r>
    </w:p>
    <w:p w14:paraId="1F253434" w14:textId="77777777" w:rsidR="00E04385" w:rsidRPr="00A92EF2" w:rsidRDefault="00E04385" w:rsidP="00E12EA5">
      <w:pPr>
        <w:spacing w:after="200" w:line="240" w:lineRule="auto"/>
        <w:rPr>
          <w:rFonts w:asciiTheme="majorHAnsi" w:hAnsiTheme="majorHAnsi" w:cstheme="majorHAnsi"/>
          <w:color w:val="1C1D1E"/>
          <w:shd w:val="clear" w:color="auto" w:fill="FFFFFF"/>
        </w:rPr>
      </w:pPr>
      <w:r w:rsidRPr="00A92EF2">
        <w:rPr>
          <w:rStyle w:val="author"/>
          <w:rFonts w:asciiTheme="majorHAnsi" w:hAnsiTheme="majorHAnsi" w:cstheme="majorHAnsi"/>
          <w:color w:val="1C1D1E"/>
          <w:shd w:val="clear" w:color="auto" w:fill="FFFFFF"/>
        </w:rPr>
        <w:t>Brophy, J.</w:t>
      </w:r>
      <w:r w:rsidRPr="00A92EF2">
        <w:rPr>
          <w:rFonts w:asciiTheme="majorHAnsi" w:hAnsiTheme="majorHAnsi" w:cstheme="majorHAnsi"/>
          <w:color w:val="1C1D1E"/>
          <w:shd w:val="clear" w:color="auto" w:fill="FFFFFF"/>
        </w:rPr>
        <w:t> (</w:t>
      </w:r>
      <w:r w:rsidRPr="00A92EF2">
        <w:rPr>
          <w:rStyle w:val="pubyear"/>
          <w:rFonts w:asciiTheme="majorHAnsi" w:hAnsiTheme="majorHAnsi" w:cstheme="majorHAnsi"/>
          <w:color w:val="1C1D1E"/>
          <w:shd w:val="clear" w:color="auto" w:fill="FFFFFF"/>
        </w:rPr>
        <w:t>2008</w:t>
      </w:r>
      <w:r w:rsidRPr="00A92EF2">
        <w:rPr>
          <w:rFonts w:asciiTheme="majorHAnsi" w:hAnsiTheme="majorHAnsi" w:cstheme="majorHAnsi"/>
          <w:color w:val="1C1D1E"/>
          <w:shd w:val="clear" w:color="auto" w:fill="FFFFFF"/>
        </w:rPr>
        <w:t>). </w:t>
      </w:r>
      <w:r w:rsidRPr="00A92EF2">
        <w:rPr>
          <w:rStyle w:val="articletitle"/>
          <w:rFonts w:asciiTheme="majorHAnsi" w:hAnsiTheme="majorHAnsi" w:cstheme="majorHAnsi"/>
          <w:color w:val="1C1D1E"/>
          <w:shd w:val="clear" w:color="auto" w:fill="FFFFFF"/>
        </w:rPr>
        <w:t>Developing students’ appreciation for what is taught in school</w:t>
      </w:r>
      <w:r w:rsidRPr="00A92EF2">
        <w:rPr>
          <w:rFonts w:asciiTheme="majorHAnsi" w:hAnsiTheme="majorHAnsi" w:cstheme="majorHAnsi"/>
          <w:color w:val="1C1D1E"/>
          <w:shd w:val="clear" w:color="auto" w:fill="FFFFFF"/>
        </w:rPr>
        <w:t>. </w:t>
      </w:r>
      <w:r w:rsidRPr="00A92EF2">
        <w:rPr>
          <w:rFonts w:asciiTheme="majorHAnsi" w:hAnsiTheme="majorHAnsi" w:cstheme="majorHAnsi"/>
          <w:i/>
          <w:iCs/>
          <w:color w:val="1C1D1E"/>
          <w:shd w:val="clear" w:color="auto" w:fill="FFFFFF"/>
        </w:rPr>
        <w:t>Educational Psychologist</w:t>
      </w:r>
      <w:r w:rsidRPr="00A92EF2">
        <w:rPr>
          <w:rFonts w:asciiTheme="majorHAnsi" w:hAnsiTheme="majorHAnsi" w:cstheme="majorHAnsi"/>
          <w:color w:val="1C1D1E"/>
          <w:shd w:val="clear" w:color="auto" w:fill="FFFFFF"/>
        </w:rPr>
        <w:t>, </w:t>
      </w:r>
      <w:r w:rsidRPr="00A92EF2">
        <w:rPr>
          <w:rStyle w:val="vol"/>
          <w:rFonts w:asciiTheme="majorHAnsi" w:hAnsiTheme="majorHAnsi" w:cstheme="majorHAnsi"/>
          <w:color w:val="1C1D1E"/>
          <w:shd w:val="clear" w:color="auto" w:fill="FFFFFF"/>
        </w:rPr>
        <w:t>43</w:t>
      </w:r>
      <w:r w:rsidRPr="00A92EF2">
        <w:rPr>
          <w:rFonts w:asciiTheme="majorHAnsi" w:hAnsiTheme="majorHAnsi" w:cstheme="majorHAnsi"/>
          <w:color w:val="1C1D1E"/>
          <w:shd w:val="clear" w:color="auto" w:fill="FFFFFF"/>
        </w:rPr>
        <w:t>(</w:t>
      </w:r>
      <w:r w:rsidRPr="00A92EF2">
        <w:rPr>
          <w:rStyle w:val="citedissue"/>
          <w:rFonts w:asciiTheme="majorHAnsi" w:hAnsiTheme="majorHAnsi" w:cstheme="majorHAnsi"/>
          <w:color w:val="1C1D1E"/>
          <w:shd w:val="clear" w:color="auto" w:fill="FFFFFF"/>
        </w:rPr>
        <w:t>3</w:t>
      </w:r>
      <w:r w:rsidRPr="00A92EF2">
        <w:rPr>
          <w:rFonts w:asciiTheme="majorHAnsi" w:hAnsiTheme="majorHAnsi" w:cstheme="majorHAnsi"/>
          <w:color w:val="1C1D1E"/>
          <w:shd w:val="clear" w:color="auto" w:fill="FFFFFF"/>
        </w:rPr>
        <w:t>), </w:t>
      </w:r>
      <w:r w:rsidRPr="00A92EF2">
        <w:rPr>
          <w:rStyle w:val="pagefirst"/>
          <w:rFonts w:asciiTheme="majorHAnsi" w:hAnsiTheme="majorHAnsi" w:cstheme="majorHAnsi"/>
          <w:color w:val="1C1D1E"/>
          <w:shd w:val="clear" w:color="auto" w:fill="FFFFFF"/>
        </w:rPr>
        <w:t>132</w:t>
      </w:r>
      <w:r w:rsidRPr="00A92EF2">
        <w:rPr>
          <w:rFonts w:asciiTheme="majorHAnsi" w:hAnsiTheme="majorHAnsi" w:cstheme="majorHAnsi"/>
          <w:color w:val="1C1D1E"/>
          <w:shd w:val="clear" w:color="auto" w:fill="FFFFFF"/>
        </w:rPr>
        <w:t>–</w:t>
      </w:r>
      <w:r w:rsidRPr="00A92EF2">
        <w:rPr>
          <w:rStyle w:val="pagelast"/>
          <w:rFonts w:asciiTheme="majorHAnsi" w:hAnsiTheme="majorHAnsi" w:cstheme="majorHAnsi"/>
          <w:color w:val="1C1D1E"/>
          <w:shd w:val="clear" w:color="auto" w:fill="FFFFFF"/>
        </w:rPr>
        <w:t>141</w:t>
      </w:r>
      <w:r w:rsidRPr="00A92EF2">
        <w:rPr>
          <w:rFonts w:asciiTheme="majorHAnsi" w:hAnsiTheme="majorHAnsi" w:cstheme="majorHAnsi"/>
          <w:color w:val="1C1D1E"/>
          <w:shd w:val="clear" w:color="auto" w:fill="FFFFFF"/>
        </w:rPr>
        <w:t>.</w:t>
      </w:r>
    </w:p>
    <w:p w14:paraId="71506776" w14:textId="62FF4938" w:rsidR="00E04385" w:rsidRPr="00A92EF2" w:rsidRDefault="00E04385" w:rsidP="00E12EA5">
      <w:pPr>
        <w:spacing w:after="200" w:line="240" w:lineRule="auto"/>
        <w:rPr>
          <w:rFonts w:asciiTheme="majorHAnsi" w:hAnsiTheme="majorHAnsi" w:cstheme="majorHAnsi"/>
          <w:color w:val="1B1B1B"/>
          <w:shd w:val="clear" w:color="auto" w:fill="FFFFFF"/>
        </w:rPr>
      </w:pPr>
      <w:r w:rsidRPr="00A92EF2">
        <w:rPr>
          <w:rFonts w:asciiTheme="majorHAnsi" w:hAnsiTheme="majorHAnsi" w:cstheme="majorHAnsi"/>
          <w:color w:val="1B1B1B"/>
          <w:shd w:val="clear" w:color="auto" w:fill="FFFFFF"/>
        </w:rPr>
        <w:t>Cavanaugh</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 xml:space="preserve"> R</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A</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 Heward</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 xml:space="preserve"> W</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L</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 xml:space="preserve">, </w:t>
      </w:r>
      <w:r w:rsidR="00B27263" w:rsidRPr="00A92EF2">
        <w:rPr>
          <w:rFonts w:asciiTheme="majorHAnsi" w:hAnsiTheme="majorHAnsi" w:cstheme="majorHAnsi"/>
          <w:color w:val="1B1B1B"/>
          <w:shd w:val="clear" w:color="auto" w:fill="FFFFFF"/>
        </w:rPr>
        <w:t xml:space="preserve">&amp; </w:t>
      </w:r>
      <w:r w:rsidRPr="00A92EF2">
        <w:rPr>
          <w:rFonts w:asciiTheme="majorHAnsi" w:hAnsiTheme="majorHAnsi" w:cstheme="majorHAnsi"/>
          <w:color w:val="1B1B1B"/>
          <w:shd w:val="clear" w:color="auto" w:fill="FFFFFF"/>
        </w:rPr>
        <w:t>Donelson</w:t>
      </w:r>
      <w:r w:rsidR="009D5767">
        <w:rPr>
          <w:rFonts w:asciiTheme="majorHAnsi" w:hAnsiTheme="majorHAnsi" w:cstheme="majorHAnsi"/>
          <w:color w:val="1B1B1B"/>
          <w:shd w:val="clear" w:color="auto" w:fill="FFFFFF"/>
        </w:rPr>
        <w:t>,</w:t>
      </w:r>
      <w:r w:rsidRPr="00A92EF2">
        <w:rPr>
          <w:rFonts w:asciiTheme="majorHAnsi" w:hAnsiTheme="majorHAnsi" w:cstheme="majorHAnsi"/>
          <w:color w:val="1B1B1B"/>
          <w:shd w:val="clear" w:color="auto" w:fill="FFFFFF"/>
        </w:rPr>
        <w:t xml:space="preserve"> F. (1996). Effects of response cards during lesson closure on the academic performance of secondary students in an earth science course. </w:t>
      </w:r>
      <w:r w:rsidRPr="00A92EF2">
        <w:rPr>
          <w:rFonts w:asciiTheme="majorHAnsi" w:hAnsiTheme="majorHAnsi" w:cstheme="majorHAnsi"/>
          <w:i/>
          <w:iCs/>
          <w:color w:val="1B1B1B"/>
          <w:shd w:val="clear" w:color="auto" w:fill="FFFFFF"/>
        </w:rPr>
        <w:t xml:space="preserve">Journal of Applied </w:t>
      </w:r>
      <w:proofErr w:type="gramStart"/>
      <w:r w:rsidRPr="00A92EF2">
        <w:rPr>
          <w:rFonts w:asciiTheme="majorHAnsi" w:hAnsiTheme="majorHAnsi" w:cstheme="majorHAnsi"/>
          <w:i/>
          <w:iCs/>
          <w:color w:val="1B1B1B"/>
          <w:shd w:val="clear" w:color="auto" w:fill="FFFFFF"/>
        </w:rPr>
        <w:t>Behavior  Analysis</w:t>
      </w:r>
      <w:proofErr w:type="gramEnd"/>
      <w:r w:rsidRPr="00A92EF2">
        <w:rPr>
          <w:rFonts w:asciiTheme="majorHAnsi" w:hAnsiTheme="majorHAnsi" w:cstheme="majorHAnsi"/>
          <w:i/>
          <w:iCs/>
          <w:color w:val="1B1B1B"/>
          <w:shd w:val="clear" w:color="auto" w:fill="FFFFFF"/>
        </w:rPr>
        <w:t>.</w:t>
      </w:r>
      <w:r w:rsidRPr="00A92EF2">
        <w:rPr>
          <w:rFonts w:asciiTheme="majorHAnsi" w:hAnsiTheme="majorHAnsi" w:cstheme="majorHAnsi"/>
          <w:color w:val="1B1B1B"/>
          <w:shd w:val="clear" w:color="auto" w:fill="FFFFFF"/>
        </w:rPr>
        <w:t xml:space="preserve"> 29(3):403-6</w:t>
      </w:r>
    </w:p>
    <w:p w14:paraId="349E076A" w14:textId="4D82BAE8" w:rsidR="00E04385" w:rsidRPr="00A92EF2" w:rsidRDefault="00E04385" w:rsidP="00E12EA5">
      <w:pPr>
        <w:spacing w:after="200" w:line="240" w:lineRule="auto"/>
        <w:rPr>
          <w:rFonts w:asciiTheme="majorHAnsi" w:eastAsia="Calibri" w:hAnsiTheme="majorHAnsi" w:cstheme="majorHAnsi"/>
          <w:color w:val="000000"/>
        </w:rPr>
      </w:pPr>
      <w:r w:rsidRPr="00A92EF2">
        <w:rPr>
          <w:rFonts w:asciiTheme="majorHAnsi" w:eastAsia="Calibri" w:hAnsiTheme="majorHAnsi" w:cstheme="majorHAnsi"/>
          <w:color w:val="000000"/>
        </w:rPr>
        <w:t xml:space="preserve">Ganske, K. (2017). Lesson closure: An important piece of the </w:t>
      </w:r>
      <w:r w:rsidR="00B27263" w:rsidRPr="00A92EF2">
        <w:rPr>
          <w:rFonts w:asciiTheme="majorHAnsi" w:eastAsia="Calibri" w:hAnsiTheme="majorHAnsi" w:cstheme="majorHAnsi"/>
          <w:color w:val="000000"/>
        </w:rPr>
        <w:t>student learning puzzle</w:t>
      </w:r>
      <w:r w:rsidRPr="00A92EF2">
        <w:rPr>
          <w:rFonts w:asciiTheme="majorHAnsi" w:eastAsia="Calibri" w:hAnsiTheme="majorHAnsi" w:cstheme="majorHAnsi"/>
          <w:color w:val="000000"/>
        </w:rPr>
        <w:t xml:space="preserve">. </w:t>
      </w:r>
      <w:r w:rsidRPr="00A92EF2">
        <w:rPr>
          <w:rFonts w:asciiTheme="majorHAnsi" w:eastAsia="Calibri" w:hAnsiTheme="majorHAnsi" w:cstheme="majorHAnsi"/>
          <w:i/>
          <w:color w:val="000000"/>
        </w:rPr>
        <w:t>The Reading Teacher</w:t>
      </w:r>
      <w:r w:rsidRPr="00A92EF2">
        <w:rPr>
          <w:rFonts w:asciiTheme="majorHAnsi" w:eastAsia="Calibri" w:hAnsiTheme="majorHAnsi" w:cstheme="majorHAnsi"/>
          <w:color w:val="000000"/>
        </w:rPr>
        <w:t xml:space="preserve">, </w:t>
      </w:r>
      <w:r w:rsidRPr="00A92EF2">
        <w:rPr>
          <w:rFonts w:asciiTheme="majorHAnsi" w:eastAsia="Calibri" w:hAnsiTheme="majorHAnsi" w:cstheme="majorHAnsi"/>
          <w:i/>
          <w:color w:val="000000"/>
        </w:rPr>
        <w:t>71</w:t>
      </w:r>
      <w:r w:rsidRPr="00A92EF2">
        <w:rPr>
          <w:rFonts w:asciiTheme="majorHAnsi" w:eastAsia="Calibri" w:hAnsiTheme="majorHAnsi" w:cstheme="majorHAnsi"/>
          <w:color w:val="000000"/>
        </w:rPr>
        <w:t>(1), 95–100.</w:t>
      </w:r>
    </w:p>
    <w:p w14:paraId="2D8F3690" w14:textId="76A8D098" w:rsidR="00E04385" w:rsidRPr="00A92EF2" w:rsidRDefault="00E04385" w:rsidP="00E12EA5">
      <w:pPr>
        <w:spacing w:after="200" w:line="240" w:lineRule="auto"/>
        <w:rPr>
          <w:rFonts w:asciiTheme="majorHAnsi" w:eastAsia="Calibri" w:hAnsiTheme="majorHAnsi" w:cstheme="majorHAnsi"/>
          <w:b/>
          <w:color w:val="000000"/>
        </w:rPr>
      </w:pPr>
      <w:r w:rsidRPr="00A92EF2">
        <w:rPr>
          <w:rStyle w:val="author"/>
          <w:rFonts w:asciiTheme="majorHAnsi" w:hAnsiTheme="majorHAnsi" w:cstheme="majorHAnsi"/>
          <w:color w:val="1C1D1E"/>
          <w:shd w:val="clear" w:color="auto" w:fill="FFFFFF"/>
        </w:rPr>
        <w:t>Hunter, M.</w:t>
      </w:r>
      <w:r w:rsidRPr="00A92EF2">
        <w:rPr>
          <w:rFonts w:asciiTheme="majorHAnsi" w:hAnsiTheme="majorHAnsi" w:cstheme="majorHAnsi"/>
          <w:color w:val="1C1D1E"/>
          <w:shd w:val="clear" w:color="auto" w:fill="FFFFFF"/>
        </w:rPr>
        <w:t xml:space="preserve"> &amp; </w:t>
      </w:r>
      <w:r w:rsidRPr="00A92EF2">
        <w:rPr>
          <w:rStyle w:val="author"/>
          <w:rFonts w:asciiTheme="majorHAnsi" w:hAnsiTheme="majorHAnsi" w:cstheme="majorHAnsi"/>
          <w:color w:val="1C1D1E"/>
          <w:shd w:val="clear" w:color="auto" w:fill="FFFFFF"/>
        </w:rPr>
        <w:t>Russell, D.</w:t>
      </w:r>
      <w:r w:rsidRPr="00A92EF2">
        <w:rPr>
          <w:rFonts w:asciiTheme="majorHAnsi" w:hAnsiTheme="majorHAnsi" w:cstheme="majorHAnsi"/>
          <w:color w:val="1C1D1E"/>
          <w:shd w:val="clear" w:color="auto" w:fill="FFFFFF"/>
        </w:rPr>
        <w:t> (</w:t>
      </w:r>
      <w:r w:rsidRPr="00A92EF2">
        <w:rPr>
          <w:rStyle w:val="pubyear"/>
          <w:rFonts w:asciiTheme="majorHAnsi" w:hAnsiTheme="majorHAnsi" w:cstheme="majorHAnsi"/>
          <w:color w:val="1C1D1E"/>
          <w:shd w:val="clear" w:color="auto" w:fill="FFFFFF"/>
        </w:rPr>
        <w:t>1977</w:t>
      </w:r>
      <w:r w:rsidRPr="00A92EF2">
        <w:rPr>
          <w:rFonts w:asciiTheme="majorHAnsi" w:hAnsiTheme="majorHAnsi" w:cstheme="majorHAnsi"/>
          <w:color w:val="1C1D1E"/>
          <w:shd w:val="clear" w:color="auto" w:fill="FFFFFF"/>
        </w:rPr>
        <w:t>). </w:t>
      </w:r>
      <w:r w:rsidRPr="00A92EF2">
        <w:rPr>
          <w:rStyle w:val="articletitle"/>
          <w:rFonts w:asciiTheme="majorHAnsi" w:hAnsiTheme="majorHAnsi" w:cstheme="majorHAnsi"/>
          <w:color w:val="1C1D1E"/>
          <w:shd w:val="clear" w:color="auto" w:fill="FFFFFF"/>
        </w:rPr>
        <w:t>How can I plan more effective lessons?</w:t>
      </w:r>
      <w:r w:rsidRPr="00A92EF2">
        <w:rPr>
          <w:rFonts w:asciiTheme="majorHAnsi" w:hAnsiTheme="majorHAnsi" w:cstheme="majorHAnsi"/>
          <w:color w:val="1C1D1E"/>
          <w:shd w:val="clear" w:color="auto" w:fill="FFFFFF"/>
        </w:rPr>
        <w:t> </w:t>
      </w:r>
      <w:r w:rsidRPr="00A92EF2">
        <w:rPr>
          <w:rFonts w:asciiTheme="majorHAnsi" w:hAnsiTheme="majorHAnsi" w:cstheme="majorHAnsi"/>
          <w:i/>
          <w:iCs/>
          <w:color w:val="1C1D1E"/>
          <w:shd w:val="clear" w:color="auto" w:fill="FFFFFF"/>
        </w:rPr>
        <w:t>Instructor</w:t>
      </w:r>
      <w:r w:rsidRPr="00A92EF2">
        <w:rPr>
          <w:rFonts w:asciiTheme="majorHAnsi" w:hAnsiTheme="majorHAnsi" w:cstheme="majorHAnsi"/>
          <w:color w:val="1C1D1E"/>
          <w:shd w:val="clear" w:color="auto" w:fill="FFFFFF"/>
        </w:rPr>
        <w:t>, </w:t>
      </w:r>
      <w:r w:rsidRPr="00A92EF2">
        <w:rPr>
          <w:rStyle w:val="vol"/>
          <w:rFonts w:asciiTheme="majorHAnsi" w:hAnsiTheme="majorHAnsi" w:cstheme="majorHAnsi"/>
          <w:color w:val="1C1D1E"/>
          <w:shd w:val="clear" w:color="auto" w:fill="FFFFFF"/>
        </w:rPr>
        <w:t>87</w:t>
      </w:r>
      <w:r w:rsidRPr="00A92EF2">
        <w:rPr>
          <w:rFonts w:asciiTheme="majorHAnsi" w:hAnsiTheme="majorHAnsi" w:cstheme="majorHAnsi"/>
          <w:color w:val="1C1D1E"/>
          <w:shd w:val="clear" w:color="auto" w:fill="FFFFFF"/>
        </w:rPr>
        <w:t>(</w:t>
      </w:r>
      <w:r w:rsidRPr="00A92EF2">
        <w:rPr>
          <w:rStyle w:val="citedissue"/>
          <w:rFonts w:asciiTheme="majorHAnsi" w:hAnsiTheme="majorHAnsi" w:cstheme="majorHAnsi"/>
          <w:color w:val="1C1D1E"/>
          <w:shd w:val="clear" w:color="auto" w:fill="FFFFFF"/>
        </w:rPr>
        <w:t>2</w:t>
      </w:r>
      <w:r w:rsidRPr="00A92EF2">
        <w:rPr>
          <w:rFonts w:asciiTheme="majorHAnsi" w:hAnsiTheme="majorHAnsi" w:cstheme="majorHAnsi"/>
          <w:color w:val="1C1D1E"/>
          <w:shd w:val="clear" w:color="auto" w:fill="FFFFFF"/>
        </w:rPr>
        <w:t>), </w:t>
      </w:r>
      <w:r w:rsidRPr="00A92EF2">
        <w:rPr>
          <w:rStyle w:val="pagefirst"/>
          <w:rFonts w:asciiTheme="majorHAnsi" w:hAnsiTheme="majorHAnsi" w:cstheme="majorHAnsi"/>
          <w:color w:val="1C1D1E"/>
          <w:shd w:val="clear" w:color="auto" w:fill="FFFFFF"/>
        </w:rPr>
        <w:t>74</w:t>
      </w:r>
      <w:r w:rsidRPr="00A92EF2">
        <w:rPr>
          <w:rFonts w:asciiTheme="majorHAnsi" w:hAnsiTheme="majorHAnsi" w:cstheme="majorHAnsi"/>
          <w:color w:val="1C1D1E"/>
          <w:shd w:val="clear" w:color="auto" w:fill="FFFFFF"/>
        </w:rPr>
        <w:t>–</w:t>
      </w:r>
      <w:r w:rsidRPr="00A92EF2">
        <w:rPr>
          <w:rStyle w:val="pagelast"/>
          <w:rFonts w:asciiTheme="majorHAnsi" w:hAnsiTheme="majorHAnsi" w:cstheme="majorHAnsi"/>
          <w:color w:val="1C1D1E"/>
          <w:shd w:val="clear" w:color="auto" w:fill="FFFFFF"/>
        </w:rPr>
        <w:t>75</w:t>
      </w:r>
      <w:r w:rsidRPr="00A92EF2">
        <w:rPr>
          <w:rFonts w:asciiTheme="majorHAnsi" w:hAnsiTheme="majorHAnsi" w:cstheme="majorHAnsi"/>
          <w:color w:val="1C1D1E"/>
          <w:shd w:val="clear" w:color="auto" w:fill="FFFFFF"/>
        </w:rPr>
        <w:t>.</w:t>
      </w:r>
    </w:p>
    <w:p w14:paraId="6A2D0FF8" w14:textId="77777777" w:rsidR="00E04385" w:rsidRPr="00A92EF2" w:rsidRDefault="00E04385" w:rsidP="00E12EA5">
      <w:pPr>
        <w:spacing w:line="240" w:lineRule="auto"/>
        <w:rPr>
          <w:rFonts w:asciiTheme="majorHAnsi" w:hAnsiTheme="majorHAnsi" w:cstheme="majorHAnsi"/>
          <w:color w:val="1C1D1E"/>
          <w:shd w:val="clear" w:color="auto" w:fill="FFFFFF"/>
        </w:rPr>
      </w:pPr>
      <w:r w:rsidRPr="00A92EF2">
        <w:rPr>
          <w:rStyle w:val="author"/>
          <w:rFonts w:asciiTheme="majorHAnsi" w:hAnsiTheme="majorHAnsi" w:cstheme="majorHAnsi"/>
          <w:color w:val="1C1D1E"/>
          <w:shd w:val="clear" w:color="auto" w:fill="FFFFFF"/>
        </w:rPr>
        <w:t>Lia, D.</w:t>
      </w:r>
      <w:r w:rsidRPr="00A92EF2">
        <w:rPr>
          <w:rFonts w:asciiTheme="majorHAnsi" w:hAnsiTheme="majorHAnsi" w:cstheme="majorHAnsi"/>
          <w:color w:val="1C1D1E"/>
          <w:shd w:val="clear" w:color="auto" w:fill="FFFFFF"/>
        </w:rPr>
        <w:t> (</w:t>
      </w:r>
      <w:r w:rsidRPr="00A92EF2">
        <w:rPr>
          <w:rStyle w:val="pubyear"/>
          <w:rFonts w:asciiTheme="majorHAnsi" w:hAnsiTheme="majorHAnsi" w:cstheme="majorHAnsi"/>
          <w:color w:val="1C1D1E"/>
          <w:shd w:val="clear" w:color="auto" w:fill="FFFFFF"/>
        </w:rPr>
        <w:t>2014</w:t>
      </w:r>
      <w:r w:rsidRPr="00A92EF2">
        <w:rPr>
          <w:rFonts w:asciiTheme="majorHAnsi" w:hAnsiTheme="majorHAnsi" w:cstheme="majorHAnsi"/>
          <w:color w:val="1C1D1E"/>
          <w:shd w:val="clear" w:color="auto" w:fill="FFFFFF"/>
        </w:rPr>
        <w:t>). </w:t>
      </w:r>
      <w:r w:rsidRPr="00A92EF2">
        <w:rPr>
          <w:rStyle w:val="articletitle"/>
          <w:rFonts w:asciiTheme="majorHAnsi" w:hAnsiTheme="majorHAnsi" w:cstheme="majorHAnsi"/>
          <w:color w:val="1C1D1E"/>
          <w:shd w:val="clear" w:color="auto" w:fill="FFFFFF"/>
        </w:rPr>
        <w:t>After 100 years, have we come full circle in lesson design</w:t>
      </w:r>
      <w:r w:rsidRPr="00A92EF2">
        <w:rPr>
          <w:rStyle w:val="articletitle"/>
          <w:rFonts w:asciiTheme="majorHAnsi" w:hAnsiTheme="majorHAnsi" w:cstheme="majorHAnsi"/>
          <w:i/>
          <w:iCs/>
          <w:color w:val="1C1D1E"/>
          <w:shd w:val="clear" w:color="auto" w:fill="FFFFFF"/>
        </w:rPr>
        <w:t>?</w:t>
      </w:r>
      <w:r w:rsidRPr="00A92EF2">
        <w:rPr>
          <w:rFonts w:asciiTheme="majorHAnsi" w:hAnsiTheme="majorHAnsi" w:cstheme="majorHAnsi"/>
          <w:color w:val="1C1D1E"/>
          <w:shd w:val="clear" w:color="auto" w:fill="FFFFFF"/>
        </w:rPr>
        <w:t> </w:t>
      </w:r>
      <w:r w:rsidRPr="00A92EF2">
        <w:rPr>
          <w:rFonts w:asciiTheme="majorHAnsi" w:hAnsiTheme="majorHAnsi" w:cstheme="majorHAnsi"/>
          <w:i/>
          <w:iCs/>
          <w:color w:val="1C1D1E"/>
          <w:shd w:val="clear" w:color="auto" w:fill="FFFFFF"/>
        </w:rPr>
        <w:t>Illinois Schools Journal</w:t>
      </w:r>
      <w:r w:rsidRPr="00A92EF2">
        <w:rPr>
          <w:rFonts w:asciiTheme="majorHAnsi" w:hAnsiTheme="majorHAnsi" w:cstheme="majorHAnsi"/>
          <w:color w:val="1C1D1E"/>
          <w:shd w:val="clear" w:color="auto" w:fill="FFFFFF"/>
        </w:rPr>
        <w:t>, </w:t>
      </w:r>
      <w:r w:rsidRPr="00A92EF2">
        <w:rPr>
          <w:rStyle w:val="vol"/>
          <w:rFonts w:asciiTheme="majorHAnsi" w:hAnsiTheme="majorHAnsi" w:cstheme="majorHAnsi"/>
          <w:color w:val="1C1D1E"/>
          <w:shd w:val="clear" w:color="auto" w:fill="FFFFFF"/>
        </w:rPr>
        <w:t>94</w:t>
      </w:r>
      <w:r w:rsidRPr="00A92EF2">
        <w:rPr>
          <w:rFonts w:asciiTheme="majorHAnsi" w:hAnsiTheme="majorHAnsi" w:cstheme="majorHAnsi"/>
          <w:color w:val="1C1D1E"/>
          <w:shd w:val="clear" w:color="auto" w:fill="FFFFFF"/>
        </w:rPr>
        <w:t>(</w:t>
      </w:r>
      <w:r w:rsidRPr="00A92EF2">
        <w:rPr>
          <w:rStyle w:val="citedissue"/>
          <w:rFonts w:asciiTheme="majorHAnsi" w:hAnsiTheme="majorHAnsi" w:cstheme="majorHAnsi"/>
          <w:color w:val="1C1D1E"/>
          <w:shd w:val="clear" w:color="auto" w:fill="FFFFFF"/>
        </w:rPr>
        <w:t>1</w:t>
      </w:r>
      <w:r w:rsidRPr="00A92EF2">
        <w:rPr>
          <w:rFonts w:asciiTheme="majorHAnsi" w:hAnsiTheme="majorHAnsi" w:cstheme="majorHAnsi"/>
          <w:color w:val="1C1D1E"/>
          <w:shd w:val="clear" w:color="auto" w:fill="FFFFFF"/>
        </w:rPr>
        <w:t>), </w:t>
      </w:r>
      <w:r w:rsidRPr="00A92EF2">
        <w:rPr>
          <w:rStyle w:val="pagefirst"/>
          <w:rFonts w:asciiTheme="majorHAnsi" w:hAnsiTheme="majorHAnsi" w:cstheme="majorHAnsi"/>
          <w:color w:val="1C1D1E"/>
          <w:shd w:val="clear" w:color="auto" w:fill="FFFFFF"/>
        </w:rPr>
        <w:t>7</w:t>
      </w:r>
      <w:r w:rsidRPr="00A92EF2">
        <w:rPr>
          <w:rFonts w:asciiTheme="majorHAnsi" w:hAnsiTheme="majorHAnsi" w:cstheme="majorHAnsi"/>
          <w:color w:val="1C1D1E"/>
          <w:shd w:val="clear" w:color="auto" w:fill="FFFFFF"/>
        </w:rPr>
        <w:t>–</w:t>
      </w:r>
      <w:r w:rsidRPr="00A92EF2">
        <w:rPr>
          <w:rStyle w:val="pagelast"/>
          <w:rFonts w:asciiTheme="majorHAnsi" w:hAnsiTheme="majorHAnsi" w:cstheme="majorHAnsi"/>
          <w:color w:val="1C1D1E"/>
          <w:shd w:val="clear" w:color="auto" w:fill="FFFFFF"/>
        </w:rPr>
        <w:t>24</w:t>
      </w:r>
      <w:r w:rsidRPr="00A92EF2">
        <w:rPr>
          <w:rFonts w:asciiTheme="majorHAnsi" w:hAnsiTheme="majorHAnsi" w:cstheme="majorHAnsi"/>
          <w:color w:val="1C1D1E"/>
          <w:shd w:val="clear" w:color="auto" w:fill="FFFFFF"/>
        </w:rPr>
        <w:t>.</w:t>
      </w:r>
    </w:p>
    <w:p w14:paraId="036C112A" w14:textId="77777777" w:rsidR="003D0816" w:rsidRPr="00A92EF2" w:rsidRDefault="003D0816" w:rsidP="00E12EA5">
      <w:pPr>
        <w:spacing w:line="240" w:lineRule="auto"/>
        <w:rPr>
          <w:rStyle w:val="groupname"/>
          <w:rFonts w:asciiTheme="majorHAnsi" w:hAnsiTheme="majorHAnsi" w:cstheme="majorHAnsi"/>
          <w:color w:val="1C1D1E"/>
          <w:shd w:val="clear" w:color="auto" w:fill="FFFFFF"/>
        </w:rPr>
      </w:pPr>
    </w:p>
    <w:p w14:paraId="5DCA9F3E" w14:textId="5930F2C7" w:rsidR="00E04385" w:rsidRPr="00A92EF2" w:rsidRDefault="00E04385" w:rsidP="00E12EA5">
      <w:pPr>
        <w:spacing w:line="240" w:lineRule="auto"/>
        <w:rPr>
          <w:rFonts w:asciiTheme="majorHAnsi" w:eastAsia="Calibri" w:hAnsiTheme="majorHAnsi" w:cstheme="majorHAnsi"/>
        </w:rPr>
      </w:pPr>
      <w:r w:rsidRPr="00A92EF2">
        <w:rPr>
          <w:rStyle w:val="groupname"/>
          <w:rFonts w:asciiTheme="majorHAnsi" w:hAnsiTheme="majorHAnsi" w:cstheme="majorHAnsi"/>
          <w:color w:val="1C1D1E"/>
          <w:shd w:val="clear" w:color="auto" w:fill="FFFFFF"/>
        </w:rPr>
        <w:t>National Governors Association Center for Best Practices &amp; Council of Chief State School Officers</w:t>
      </w:r>
      <w:r w:rsidRPr="00A92EF2">
        <w:rPr>
          <w:rFonts w:asciiTheme="majorHAnsi" w:hAnsiTheme="majorHAnsi" w:cstheme="majorHAnsi"/>
          <w:color w:val="1C1D1E"/>
          <w:shd w:val="clear" w:color="auto" w:fill="FFFFFF"/>
        </w:rPr>
        <w:t>. (</w:t>
      </w:r>
      <w:r w:rsidRPr="00A92EF2">
        <w:rPr>
          <w:rStyle w:val="pubyear"/>
          <w:rFonts w:asciiTheme="majorHAnsi" w:hAnsiTheme="majorHAnsi" w:cstheme="majorHAnsi"/>
          <w:color w:val="1C1D1E"/>
          <w:shd w:val="clear" w:color="auto" w:fill="FFFFFF"/>
        </w:rPr>
        <w:t>2010</w:t>
      </w:r>
      <w:r w:rsidRPr="00A92EF2">
        <w:rPr>
          <w:rFonts w:asciiTheme="majorHAnsi" w:hAnsiTheme="majorHAnsi" w:cstheme="majorHAnsi"/>
          <w:color w:val="1C1D1E"/>
          <w:shd w:val="clear" w:color="auto" w:fill="FFFFFF"/>
        </w:rPr>
        <w:t>). </w:t>
      </w:r>
      <w:r w:rsidRPr="00A92EF2">
        <w:rPr>
          <w:rStyle w:val="booktitle"/>
          <w:rFonts w:asciiTheme="majorHAnsi" w:hAnsiTheme="majorHAnsi" w:cstheme="majorHAnsi"/>
          <w:i/>
          <w:iCs/>
          <w:color w:val="1C1D1E"/>
          <w:shd w:val="clear" w:color="auto" w:fill="FFFFFF"/>
        </w:rPr>
        <w:t>Common Core State Standards for English language arts and literacy in history/social studies, science, and technical subjects</w:t>
      </w:r>
      <w:r w:rsidRPr="00A92EF2">
        <w:rPr>
          <w:rFonts w:asciiTheme="majorHAnsi" w:hAnsiTheme="majorHAnsi" w:cstheme="majorHAnsi"/>
          <w:color w:val="1C1D1E"/>
          <w:shd w:val="clear" w:color="auto" w:fill="FFFFFF"/>
        </w:rPr>
        <w:t>. </w:t>
      </w:r>
      <w:r w:rsidRPr="00A92EF2">
        <w:rPr>
          <w:rStyle w:val="publisherlocation"/>
          <w:rFonts w:asciiTheme="majorHAnsi" w:hAnsiTheme="majorHAnsi" w:cstheme="majorHAnsi"/>
          <w:color w:val="1C1D1E"/>
          <w:shd w:val="clear" w:color="auto" w:fill="FFFFFF"/>
        </w:rPr>
        <w:t>Washington, DC</w:t>
      </w:r>
      <w:r w:rsidR="00B27263" w:rsidRPr="00A92EF2">
        <w:rPr>
          <w:rFonts w:asciiTheme="majorHAnsi" w:hAnsiTheme="majorHAnsi" w:cstheme="majorHAnsi"/>
          <w:color w:val="1C1D1E"/>
          <w:shd w:val="clear" w:color="auto" w:fill="FFFFFF"/>
        </w:rPr>
        <w:t>.</w:t>
      </w:r>
    </w:p>
    <w:p w14:paraId="414BFAEB" w14:textId="77777777" w:rsidR="00E04385" w:rsidRPr="00A92EF2" w:rsidRDefault="00E04385" w:rsidP="00E12EA5">
      <w:pPr>
        <w:spacing w:line="240" w:lineRule="auto"/>
        <w:rPr>
          <w:rFonts w:asciiTheme="majorHAnsi" w:eastAsia="Calibri" w:hAnsiTheme="majorHAnsi" w:cstheme="majorHAnsi"/>
        </w:rPr>
      </w:pPr>
    </w:p>
    <w:p w14:paraId="1AE5EAB5" w14:textId="77777777" w:rsidR="00E04385" w:rsidRPr="00A92EF2" w:rsidRDefault="00E04385" w:rsidP="00E12EA5">
      <w:pPr>
        <w:spacing w:line="240" w:lineRule="auto"/>
        <w:rPr>
          <w:rFonts w:asciiTheme="majorHAnsi" w:eastAsia="Calibri" w:hAnsiTheme="majorHAnsi" w:cstheme="majorHAnsi"/>
        </w:rPr>
      </w:pPr>
      <w:r w:rsidRPr="00A92EF2">
        <w:rPr>
          <w:rFonts w:asciiTheme="majorHAnsi" w:eastAsia="Calibri" w:hAnsiTheme="majorHAnsi" w:cstheme="majorHAnsi"/>
        </w:rPr>
        <w:t xml:space="preserve">Phillips, </w:t>
      </w:r>
      <w:proofErr w:type="spellStart"/>
      <w:r w:rsidRPr="00A92EF2">
        <w:rPr>
          <w:rFonts w:asciiTheme="majorHAnsi" w:eastAsia="Calibri" w:hAnsiTheme="majorHAnsi" w:cstheme="majorHAnsi"/>
        </w:rPr>
        <w:t>LuOuida</w:t>
      </w:r>
      <w:proofErr w:type="spellEnd"/>
      <w:r w:rsidRPr="00A92EF2">
        <w:rPr>
          <w:rFonts w:asciiTheme="majorHAnsi" w:eastAsia="Calibri" w:hAnsiTheme="majorHAnsi" w:cstheme="majorHAnsi"/>
        </w:rPr>
        <w:t xml:space="preserve"> Vinson. (1987</w:t>
      </w:r>
      <w:r w:rsidRPr="00A92EF2">
        <w:rPr>
          <w:rFonts w:asciiTheme="majorHAnsi" w:eastAsia="Calibri" w:hAnsiTheme="majorHAnsi" w:cstheme="majorHAnsi"/>
          <w:i/>
          <w:iCs/>
        </w:rPr>
        <w:t>). Instructor</w:t>
      </w:r>
      <w:r w:rsidRPr="00A92EF2">
        <w:rPr>
          <w:rFonts w:asciiTheme="majorHAnsi" w:eastAsia="Calibri" w:hAnsiTheme="majorHAnsi" w:cstheme="majorHAnsi"/>
        </w:rPr>
        <w:t xml:space="preserve">. 97. 36-38. </w:t>
      </w:r>
    </w:p>
    <w:p w14:paraId="6954E689" w14:textId="77777777" w:rsidR="003D0816" w:rsidRPr="00A92EF2" w:rsidRDefault="003D0816" w:rsidP="00E12EA5">
      <w:pPr>
        <w:spacing w:line="240" w:lineRule="auto"/>
        <w:rPr>
          <w:rStyle w:val="author"/>
          <w:rFonts w:asciiTheme="majorHAnsi" w:hAnsiTheme="majorHAnsi" w:cstheme="majorHAnsi"/>
          <w:color w:val="1C1D1E"/>
          <w:shd w:val="clear" w:color="auto" w:fill="FFFFFF"/>
        </w:rPr>
      </w:pPr>
    </w:p>
    <w:p w14:paraId="0169D35C" w14:textId="63DB2630" w:rsidR="00E04385" w:rsidRPr="00A92EF2" w:rsidRDefault="00E04385" w:rsidP="00E12EA5">
      <w:pPr>
        <w:spacing w:line="240" w:lineRule="auto"/>
        <w:rPr>
          <w:rFonts w:asciiTheme="majorHAnsi" w:hAnsiTheme="majorHAnsi" w:cstheme="majorHAnsi"/>
          <w:color w:val="1C1D1E"/>
          <w:shd w:val="clear" w:color="auto" w:fill="FFFFFF"/>
        </w:rPr>
      </w:pPr>
      <w:r w:rsidRPr="00A92EF2">
        <w:rPr>
          <w:rStyle w:val="author"/>
          <w:rFonts w:asciiTheme="majorHAnsi" w:hAnsiTheme="majorHAnsi" w:cstheme="majorHAnsi"/>
          <w:color w:val="1C1D1E"/>
          <w:shd w:val="clear" w:color="auto" w:fill="FFFFFF"/>
        </w:rPr>
        <w:t>Pollock, J.E.</w:t>
      </w:r>
      <w:r w:rsidRPr="00A92EF2">
        <w:rPr>
          <w:rFonts w:asciiTheme="majorHAnsi" w:hAnsiTheme="majorHAnsi" w:cstheme="majorHAnsi"/>
          <w:color w:val="1C1D1E"/>
          <w:shd w:val="clear" w:color="auto" w:fill="FFFFFF"/>
        </w:rPr>
        <w:t> (</w:t>
      </w:r>
      <w:r w:rsidRPr="00A92EF2">
        <w:rPr>
          <w:rStyle w:val="pubyear"/>
          <w:rFonts w:asciiTheme="majorHAnsi" w:hAnsiTheme="majorHAnsi" w:cstheme="majorHAnsi"/>
          <w:color w:val="1C1D1E"/>
          <w:shd w:val="clear" w:color="auto" w:fill="FFFFFF"/>
        </w:rPr>
        <w:t>2007</w:t>
      </w:r>
      <w:r w:rsidRPr="00A92EF2">
        <w:rPr>
          <w:rFonts w:asciiTheme="majorHAnsi" w:hAnsiTheme="majorHAnsi" w:cstheme="majorHAnsi"/>
          <w:color w:val="1C1D1E"/>
          <w:shd w:val="clear" w:color="auto" w:fill="FFFFFF"/>
        </w:rPr>
        <w:t>). </w:t>
      </w:r>
      <w:r w:rsidRPr="00A92EF2">
        <w:rPr>
          <w:rStyle w:val="booktitle"/>
          <w:rFonts w:asciiTheme="majorHAnsi" w:hAnsiTheme="majorHAnsi" w:cstheme="majorHAnsi"/>
          <w:i/>
          <w:iCs/>
          <w:color w:val="1C1D1E"/>
          <w:shd w:val="clear" w:color="auto" w:fill="FFFFFF"/>
        </w:rPr>
        <w:t xml:space="preserve">Improving student </w:t>
      </w:r>
      <w:proofErr w:type="gramStart"/>
      <w:r w:rsidRPr="00A92EF2">
        <w:rPr>
          <w:rStyle w:val="booktitle"/>
          <w:rFonts w:asciiTheme="majorHAnsi" w:hAnsiTheme="majorHAnsi" w:cstheme="majorHAnsi"/>
          <w:i/>
          <w:iCs/>
          <w:color w:val="1C1D1E"/>
          <w:shd w:val="clear" w:color="auto" w:fill="FFFFFF"/>
        </w:rPr>
        <w:t>learning</w:t>
      </w:r>
      <w:proofErr w:type="gramEnd"/>
      <w:r w:rsidRPr="00A92EF2">
        <w:rPr>
          <w:rStyle w:val="booktitle"/>
          <w:rFonts w:asciiTheme="majorHAnsi" w:hAnsiTheme="majorHAnsi" w:cstheme="majorHAnsi"/>
          <w:i/>
          <w:iCs/>
          <w:color w:val="1C1D1E"/>
          <w:shd w:val="clear" w:color="auto" w:fill="FFFFFF"/>
        </w:rPr>
        <w:t xml:space="preserve"> one teacher at a time</w:t>
      </w:r>
      <w:r w:rsidRPr="00A92EF2">
        <w:rPr>
          <w:rFonts w:asciiTheme="majorHAnsi" w:hAnsiTheme="majorHAnsi" w:cstheme="majorHAnsi"/>
          <w:color w:val="1C1D1E"/>
          <w:shd w:val="clear" w:color="auto" w:fill="FFFFFF"/>
        </w:rPr>
        <w:t>. </w:t>
      </w:r>
      <w:r w:rsidRPr="00A92EF2">
        <w:rPr>
          <w:rStyle w:val="publisherlocation"/>
          <w:rFonts w:asciiTheme="majorHAnsi" w:hAnsiTheme="majorHAnsi" w:cstheme="majorHAnsi"/>
          <w:color w:val="1C1D1E"/>
          <w:shd w:val="clear" w:color="auto" w:fill="FFFFFF"/>
        </w:rPr>
        <w:t>Alexandria, VA</w:t>
      </w:r>
      <w:r w:rsidRPr="00A92EF2">
        <w:rPr>
          <w:rFonts w:asciiTheme="majorHAnsi" w:hAnsiTheme="majorHAnsi" w:cstheme="majorHAnsi"/>
          <w:color w:val="1C1D1E"/>
          <w:shd w:val="clear" w:color="auto" w:fill="FFFFFF"/>
        </w:rPr>
        <w:t>: Association for Supervision and Curriculum Development.</w:t>
      </w:r>
    </w:p>
    <w:p w14:paraId="6B84C744" w14:textId="77777777" w:rsidR="003D0816" w:rsidRPr="00A92EF2" w:rsidRDefault="003D0816" w:rsidP="00E12EA5">
      <w:pPr>
        <w:spacing w:line="240" w:lineRule="auto"/>
        <w:rPr>
          <w:rStyle w:val="author"/>
          <w:rFonts w:asciiTheme="majorHAnsi" w:hAnsiTheme="majorHAnsi" w:cstheme="majorHAnsi"/>
          <w:color w:val="1C1D1E"/>
          <w:shd w:val="clear" w:color="auto" w:fill="FFFFFF"/>
        </w:rPr>
      </w:pPr>
    </w:p>
    <w:p w14:paraId="53DE2D56" w14:textId="42229BAD" w:rsidR="00E04385" w:rsidRPr="00A92EF2" w:rsidRDefault="00E04385" w:rsidP="00E12EA5">
      <w:pPr>
        <w:spacing w:line="240" w:lineRule="auto"/>
        <w:rPr>
          <w:rFonts w:asciiTheme="majorHAnsi" w:eastAsia="Calibri" w:hAnsiTheme="majorHAnsi" w:cstheme="majorHAnsi"/>
        </w:rPr>
      </w:pPr>
      <w:r w:rsidRPr="00A92EF2">
        <w:rPr>
          <w:rStyle w:val="author"/>
          <w:rFonts w:asciiTheme="majorHAnsi" w:hAnsiTheme="majorHAnsi" w:cstheme="majorHAnsi"/>
          <w:color w:val="1C1D1E"/>
          <w:shd w:val="clear" w:color="auto" w:fill="FFFFFF"/>
        </w:rPr>
        <w:t>Smith, J.</w:t>
      </w:r>
      <w:r w:rsidRPr="00A92EF2">
        <w:rPr>
          <w:rFonts w:asciiTheme="majorHAnsi" w:hAnsiTheme="majorHAnsi" w:cstheme="majorHAnsi"/>
          <w:color w:val="1C1D1E"/>
          <w:shd w:val="clear" w:color="auto" w:fill="FFFFFF"/>
        </w:rPr>
        <w:t> (</w:t>
      </w:r>
      <w:r w:rsidRPr="00A92EF2">
        <w:rPr>
          <w:rStyle w:val="pubyear"/>
          <w:rFonts w:asciiTheme="majorHAnsi" w:hAnsiTheme="majorHAnsi" w:cstheme="majorHAnsi"/>
          <w:color w:val="1C1D1E"/>
          <w:shd w:val="clear" w:color="auto" w:fill="FFFFFF"/>
        </w:rPr>
        <w:t>2016</w:t>
      </w:r>
      <w:r w:rsidRPr="00A92EF2">
        <w:rPr>
          <w:rFonts w:asciiTheme="majorHAnsi" w:hAnsiTheme="majorHAnsi" w:cstheme="majorHAnsi"/>
          <w:color w:val="1C1D1E"/>
          <w:shd w:val="clear" w:color="auto" w:fill="FFFFFF"/>
        </w:rPr>
        <w:t>). </w:t>
      </w:r>
      <w:r w:rsidRPr="00A92EF2">
        <w:rPr>
          <w:rStyle w:val="othertitle"/>
          <w:rFonts w:asciiTheme="majorHAnsi" w:hAnsiTheme="majorHAnsi" w:cstheme="majorHAnsi"/>
          <w:color w:val="1C1D1E"/>
          <w:shd w:val="clear" w:color="auto" w:fill="FFFFFF"/>
        </w:rPr>
        <w:t>5 techie ideas for lesson closure</w:t>
      </w:r>
      <w:r w:rsidRPr="00A92EF2">
        <w:rPr>
          <w:rFonts w:asciiTheme="majorHAnsi" w:hAnsiTheme="majorHAnsi" w:cstheme="majorHAnsi"/>
          <w:color w:val="1C1D1E"/>
          <w:shd w:val="clear" w:color="auto" w:fill="FFFFFF"/>
        </w:rPr>
        <w:t xml:space="preserve"> [Web log post]. Retrieved </w:t>
      </w:r>
      <w:r w:rsidRPr="00A92EF2">
        <w:rPr>
          <w:rFonts w:asciiTheme="majorHAnsi" w:hAnsiTheme="majorHAnsi" w:cstheme="majorHAnsi"/>
          <w:shd w:val="clear" w:color="auto" w:fill="FFFFFF"/>
        </w:rPr>
        <w:t>from </w:t>
      </w:r>
      <w:hyperlink r:id="rId10" w:history="1">
        <w:r w:rsidRPr="00A92EF2">
          <w:rPr>
            <w:rStyle w:val="Hyperlink"/>
            <w:rFonts w:asciiTheme="majorHAnsi" w:hAnsiTheme="majorHAnsi" w:cstheme="majorHAnsi"/>
            <w:color w:val="auto"/>
            <w:u w:val="none"/>
            <w:shd w:val="clear" w:color="auto" w:fill="FFFFFF"/>
          </w:rPr>
          <w:t>http://www.thetechieteacher.net/2016/08/5-techie-ideas-for-lesson-closure.html</w:t>
        </w:r>
      </w:hyperlink>
    </w:p>
    <w:p w14:paraId="4F432888" w14:textId="77777777" w:rsidR="003D0816" w:rsidRPr="00A92EF2" w:rsidRDefault="003D0816" w:rsidP="00E12EA5">
      <w:pPr>
        <w:spacing w:line="240" w:lineRule="auto"/>
        <w:rPr>
          <w:rStyle w:val="author"/>
          <w:rFonts w:asciiTheme="majorHAnsi" w:hAnsiTheme="majorHAnsi" w:cstheme="majorHAnsi"/>
          <w:shd w:val="clear" w:color="auto" w:fill="FFFFFF"/>
        </w:rPr>
      </w:pPr>
    </w:p>
    <w:p w14:paraId="0D7E2FF0" w14:textId="45573C99" w:rsidR="00E04385" w:rsidRPr="00A92EF2" w:rsidRDefault="00E04385" w:rsidP="00E12EA5">
      <w:pPr>
        <w:spacing w:line="240" w:lineRule="auto"/>
        <w:rPr>
          <w:rFonts w:asciiTheme="majorHAnsi" w:eastAsia="Calibri" w:hAnsiTheme="majorHAnsi" w:cstheme="majorHAnsi"/>
        </w:rPr>
      </w:pPr>
      <w:r w:rsidRPr="00A92EF2">
        <w:rPr>
          <w:rStyle w:val="author"/>
          <w:rFonts w:asciiTheme="majorHAnsi" w:hAnsiTheme="majorHAnsi" w:cstheme="majorHAnsi"/>
          <w:shd w:val="clear" w:color="auto" w:fill="FFFFFF"/>
        </w:rPr>
        <w:t>Wiggins, G.</w:t>
      </w:r>
      <w:r w:rsidRPr="00A92EF2">
        <w:rPr>
          <w:rFonts w:asciiTheme="majorHAnsi" w:hAnsiTheme="majorHAnsi" w:cstheme="majorHAnsi"/>
          <w:shd w:val="clear" w:color="auto" w:fill="FFFFFF"/>
        </w:rPr>
        <w:t xml:space="preserve"> &amp; </w:t>
      </w:r>
      <w:r w:rsidRPr="00A92EF2">
        <w:rPr>
          <w:rStyle w:val="author"/>
          <w:rFonts w:asciiTheme="majorHAnsi" w:hAnsiTheme="majorHAnsi" w:cstheme="majorHAnsi"/>
          <w:shd w:val="clear" w:color="auto" w:fill="FFFFFF"/>
        </w:rPr>
        <w:t>McTighe, J.</w:t>
      </w:r>
      <w:r w:rsidRPr="00A92EF2">
        <w:rPr>
          <w:rFonts w:asciiTheme="majorHAnsi" w:hAnsiTheme="majorHAnsi" w:cstheme="majorHAnsi"/>
          <w:shd w:val="clear" w:color="auto" w:fill="FFFFFF"/>
        </w:rPr>
        <w:t> (</w:t>
      </w:r>
      <w:r w:rsidRPr="00A92EF2">
        <w:rPr>
          <w:rStyle w:val="pubyear"/>
          <w:rFonts w:asciiTheme="majorHAnsi" w:hAnsiTheme="majorHAnsi" w:cstheme="majorHAnsi"/>
          <w:shd w:val="clear" w:color="auto" w:fill="FFFFFF"/>
        </w:rPr>
        <w:t>2005</w:t>
      </w:r>
      <w:r w:rsidRPr="00A92EF2">
        <w:rPr>
          <w:rFonts w:asciiTheme="majorHAnsi" w:hAnsiTheme="majorHAnsi" w:cstheme="majorHAnsi"/>
          <w:shd w:val="clear" w:color="auto" w:fill="FFFFFF"/>
        </w:rPr>
        <w:t>). </w:t>
      </w:r>
      <w:r w:rsidRPr="00A92EF2">
        <w:rPr>
          <w:rStyle w:val="booktitle"/>
          <w:rFonts w:asciiTheme="majorHAnsi" w:hAnsiTheme="majorHAnsi" w:cstheme="majorHAnsi"/>
          <w:i/>
          <w:iCs/>
          <w:shd w:val="clear" w:color="auto" w:fill="FFFFFF"/>
        </w:rPr>
        <w:t>Understanding by design</w:t>
      </w:r>
      <w:r w:rsidRPr="00A92EF2">
        <w:rPr>
          <w:rFonts w:asciiTheme="majorHAnsi" w:hAnsiTheme="majorHAnsi" w:cstheme="majorHAnsi"/>
          <w:shd w:val="clear" w:color="auto" w:fill="FFFFFF"/>
        </w:rPr>
        <w:t> </w:t>
      </w:r>
      <w:r w:rsidR="003D0816" w:rsidRPr="00A92EF2">
        <w:rPr>
          <w:rFonts w:asciiTheme="majorHAnsi" w:hAnsiTheme="majorHAnsi" w:cstheme="majorHAnsi"/>
          <w:shd w:val="clear" w:color="auto" w:fill="FFFFFF"/>
        </w:rPr>
        <w:t>(2</w:t>
      </w:r>
      <w:r w:rsidRPr="00A92EF2">
        <w:rPr>
          <w:rStyle w:val="edition"/>
          <w:rFonts w:asciiTheme="majorHAnsi" w:hAnsiTheme="majorHAnsi" w:cstheme="majorHAnsi"/>
          <w:shd w:val="clear" w:color="auto" w:fill="FFFFFF"/>
        </w:rPr>
        <w:t>nd ed</w:t>
      </w:r>
      <w:r w:rsidRPr="00A92EF2">
        <w:rPr>
          <w:rStyle w:val="edition"/>
          <w:rFonts w:asciiTheme="majorHAnsi" w:hAnsiTheme="majorHAnsi" w:cstheme="majorHAnsi"/>
          <w:color w:val="1C1D1E"/>
          <w:shd w:val="clear" w:color="auto" w:fill="FFFFFF"/>
        </w:rPr>
        <w:t>.</w:t>
      </w:r>
      <w:r w:rsidRPr="00A92EF2">
        <w:rPr>
          <w:rFonts w:asciiTheme="majorHAnsi" w:hAnsiTheme="majorHAnsi" w:cstheme="majorHAnsi"/>
          <w:color w:val="1C1D1E"/>
          <w:shd w:val="clear" w:color="auto" w:fill="FFFFFF"/>
        </w:rPr>
        <w:t>). </w:t>
      </w:r>
      <w:r w:rsidRPr="00A92EF2">
        <w:rPr>
          <w:rStyle w:val="publisherlocation"/>
          <w:rFonts w:asciiTheme="majorHAnsi" w:hAnsiTheme="majorHAnsi" w:cstheme="majorHAnsi"/>
          <w:color w:val="1C1D1E"/>
          <w:shd w:val="clear" w:color="auto" w:fill="FFFFFF"/>
        </w:rPr>
        <w:t>Alexandria, VA</w:t>
      </w:r>
      <w:r w:rsidRPr="00A92EF2">
        <w:rPr>
          <w:rFonts w:asciiTheme="majorHAnsi" w:hAnsiTheme="majorHAnsi" w:cstheme="majorHAnsi"/>
          <w:color w:val="1C1D1E"/>
          <w:shd w:val="clear" w:color="auto" w:fill="FFFFFF"/>
        </w:rPr>
        <w:t>: Association for Supervision and Curriculum Development.</w:t>
      </w:r>
    </w:p>
    <w:p w14:paraId="40F9ACC6" w14:textId="77777777" w:rsidR="003D0816" w:rsidRPr="00A92EF2" w:rsidRDefault="003D0816" w:rsidP="00E12EA5">
      <w:pPr>
        <w:spacing w:line="240" w:lineRule="auto"/>
        <w:rPr>
          <w:rFonts w:asciiTheme="majorHAnsi" w:eastAsia="Calibri" w:hAnsiTheme="majorHAnsi" w:cstheme="majorHAnsi"/>
        </w:rPr>
      </w:pPr>
    </w:p>
    <w:p w14:paraId="3D01B426" w14:textId="63B729E8" w:rsidR="00E04385" w:rsidRPr="00A92EF2" w:rsidRDefault="00E04385" w:rsidP="00E12EA5">
      <w:pPr>
        <w:spacing w:line="240" w:lineRule="auto"/>
        <w:rPr>
          <w:rFonts w:asciiTheme="majorHAnsi" w:eastAsia="Calibri" w:hAnsiTheme="majorHAnsi" w:cstheme="majorHAnsi"/>
        </w:rPr>
      </w:pPr>
      <w:r w:rsidRPr="00A92EF2">
        <w:rPr>
          <w:rFonts w:asciiTheme="majorHAnsi" w:eastAsia="Calibri" w:hAnsiTheme="majorHAnsi" w:cstheme="majorHAnsi"/>
        </w:rPr>
        <w:t>Wolf, P.</w:t>
      </w:r>
      <w:r w:rsidR="00E12EA5" w:rsidRPr="00A92EF2">
        <w:rPr>
          <w:rFonts w:asciiTheme="majorHAnsi" w:eastAsia="Calibri" w:hAnsiTheme="majorHAnsi" w:cstheme="majorHAnsi"/>
        </w:rPr>
        <w:t xml:space="preserve"> &amp; </w:t>
      </w:r>
      <w:r w:rsidRPr="00A92EF2">
        <w:rPr>
          <w:rFonts w:asciiTheme="majorHAnsi" w:eastAsia="Calibri" w:hAnsiTheme="majorHAnsi" w:cstheme="majorHAnsi"/>
        </w:rPr>
        <w:t xml:space="preserve">Supon, V. (1994). Winning </w:t>
      </w:r>
      <w:r w:rsidR="003D0816" w:rsidRPr="00A92EF2">
        <w:rPr>
          <w:rFonts w:asciiTheme="majorHAnsi" w:eastAsia="Calibri" w:hAnsiTheme="majorHAnsi" w:cstheme="majorHAnsi"/>
        </w:rPr>
        <w:t>through student participation in lesson closure</w:t>
      </w:r>
      <w:r w:rsidRPr="00A92EF2">
        <w:rPr>
          <w:rFonts w:asciiTheme="majorHAnsi" w:eastAsia="Calibri" w:hAnsiTheme="majorHAnsi" w:cstheme="majorHAnsi"/>
        </w:rPr>
        <w:t xml:space="preserve">. </w:t>
      </w:r>
      <w:r w:rsidRPr="00A92EF2">
        <w:rPr>
          <w:rFonts w:asciiTheme="majorHAnsi" w:hAnsiTheme="majorHAnsi" w:cstheme="majorHAnsi"/>
          <w:color w:val="1C1D1E"/>
          <w:shd w:val="clear" w:color="auto" w:fill="FFFFFF"/>
        </w:rPr>
        <w:t>Retrieved from ERIC database. (ED368694)</w:t>
      </w:r>
    </w:p>
    <w:p w14:paraId="5A95930F" w14:textId="1E349D26" w:rsidR="000B40F3" w:rsidRPr="00A92EF2" w:rsidRDefault="000B40F3" w:rsidP="000B40F3">
      <w:pPr>
        <w:spacing w:line="240" w:lineRule="auto"/>
        <w:rPr>
          <w:rFonts w:asciiTheme="majorHAnsi" w:eastAsia="Calibri" w:hAnsiTheme="majorHAnsi" w:cstheme="majorHAnsi"/>
          <w:b/>
          <w:bCs/>
        </w:rPr>
      </w:pPr>
    </w:p>
    <w:p w14:paraId="4D77F1B0" w14:textId="37650781" w:rsidR="000B40F3" w:rsidRPr="00A92EF2" w:rsidRDefault="000B40F3" w:rsidP="004F18D6">
      <w:pPr>
        <w:spacing w:line="240" w:lineRule="auto"/>
        <w:rPr>
          <w:rFonts w:asciiTheme="majorHAnsi" w:eastAsia="Calibri" w:hAnsiTheme="majorHAnsi" w:cstheme="majorHAnsi"/>
        </w:rPr>
      </w:pPr>
    </w:p>
    <w:sectPr w:rsidR="000B40F3" w:rsidRPr="00A92EF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0923" w14:textId="77777777" w:rsidR="007C0CC2" w:rsidRDefault="007C0CC2">
      <w:pPr>
        <w:spacing w:line="240" w:lineRule="auto"/>
      </w:pPr>
      <w:r>
        <w:separator/>
      </w:r>
    </w:p>
  </w:endnote>
  <w:endnote w:type="continuationSeparator" w:id="0">
    <w:p w14:paraId="5B8F9BBC" w14:textId="77777777" w:rsidR="007C0CC2" w:rsidRDefault="007C0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7091" w14:textId="068E8DB2" w:rsidR="00262515" w:rsidRDefault="00627848" w:rsidP="00627848">
    <w:pPr>
      <w:pStyle w:val="Footer"/>
      <w:tabs>
        <w:tab w:val="clear" w:pos="4680"/>
      </w:tabs>
    </w:pPr>
    <w:r w:rsidRPr="00293785">
      <w:rPr>
        <w:noProof/>
      </w:rPr>
      <mc:AlternateContent>
        <mc:Choice Requires="wps">
          <w:drawing>
            <wp:anchor distT="0" distB="0" distL="114300" distR="114300" simplePos="0" relativeHeight="251666432" behindDoc="0" locked="0" layoutInCell="1" allowOverlap="1" wp14:anchorId="1C2CA3AD" wp14:editId="1ADBFE9E">
              <wp:simplePos x="0" y="0"/>
              <wp:positionH relativeFrom="column">
                <wp:posOffset>1094740</wp:posOffset>
              </wp:positionH>
              <wp:positionV relativeFrom="paragraph">
                <wp:posOffset>-159385</wp:posOffset>
              </wp:positionV>
              <wp:extent cx="4000500" cy="285750"/>
              <wp:effectExtent l="0" t="0" r="0" b="0"/>
              <wp:wrapNone/>
              <wp:docPr id="1452101193" name="Text Box 1452101193"/>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579DBF" w14:textId="619FF822" w:rsidR="00627848" w:rsidRPr="00262515" w:rsidRDefault="007C0CC2" w:rsidP="00627848">
                          <w:pPr>
                            <w:pStyle w:val="LessonFooter"/>
                          </w:pPr>
                          <w:sdt>
                            <w:sdtPr>
                              <w:alias w:val="Title"/>
                              <w:tag w:val=""/>
                              <w:id w:val="197050899"/>
                              <w:dataBinding w:prefixMappings="xmlns:ns0='http://purl.org/dc/elements/1.1/' xmlns:ns1='http://schemas.openxmlformats.org/package/2006/metadata/core-properties' " w:xpath="/ns1:coreProperties[1]/ns0:title[1]" w:storeItemID="{6C3C8BC8-F283-45AE-878A-BAB7291924A1}"/>
                              <w:text/>
                            </w:sdtPr>
                            <w:sdtEndPr/>
                            <w:sdtContent>
                              <w:r w:rsidR="00627848">
                                <w:t>Closing Time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CA3AD" id="_x0000_t202" coordsize="21600,21600" o:spt="202" path="m,l,21600r21600,l21600,xe">
              <v:stroke joinstyle="miter"/>
              <v:path gradientshapeok="t" o:connecttype="rect"/>
            </v:shapetype>
            <v:shape id="Text Box 1452101193" o:spid="_x0000_s1026" type="#_x0000_t202" style="position:absolute;margin-left:86.2pt;margin-top:-12.55pt;width:3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" filled="f" stroked="f">
              <v:textbox>
                <w:txbxContent>
                  <w:p w14:paraId="53579DBF" w14:textId="619FF822" w:rsidR="00627848" w:rsidRPr="00262515" w:rsidRDefault="007C0CC2" w:rsidP="00627848">
                    <w:pPr>
                      <w:pStyle w:val="LessonFooter"/>
                    </w:pPr>
                    <w:sdt>
                      <w:sdtPr>
                        <w:alias w:val="Title"/>
                        <w:tag w:val=""/>
                        <w:id w:val="197050899"/>
                        <w:dataBinding w:prefixMappings="xmlns:ns0='http://purl.org/dc/elements/1.1/' xmlns:ns1='http://schemas.openxmlformats.org/package/2006/metadata/core-properties' " w:xpath="/ns1:coreProperties[1]/ns0:title[1]" w:storeItemID="{6C3C8BC8-F283-45AE-878A-BAB7291924A1}"/>
                        <w:text/>
                      </w:sdtPr>
                      <w:sdtEndPr/>
                      <w:sdtContent>
                        <w:r w:rsidR="00627848">
                          <w:t>Closing Time</w:t>
                        </w:r>
                      </w:sdtContent>
                    </w:sdt>
                  </w:p>
                </w:txbxContent>
              </v:textbox>
            </v:shape>
          </w:pict>
        </mc:Fallback>
      </mc:AlternateContent>
    </w:r>
    <w:r>
      <w:rPr>
        <w:noProof/>
      </w:rPr>
      <w:drawing>
        <wp:anchor distT="0" distB="0" distL="114300" distR="114300" simplePos="0" relativeHeight="251655164" behindDoc="1" locked="0" layoutInCell="1" allowOverlap="1" wp14:anchorId="61C188E6" wp14:editId="4DF33265">
          <wp:simplePos x="0" y="0"/>
          <wp:positionH relativeFrom="margin">
            <wp:posOffset>1267460</wp:posOffset>
          </wp:positionH>
          <wp:positionV relativeFrom="paragraph">
            <wp:posOffset>-122196</wp:posOffset>
          </wp:positionV>
          <wp:extent cx="4673600" cy="393700"/>
          <wp:effectExtent l="0" t="0" r="0" b="6350"/>
          <wp:wrapNone/>
          <wp:docPr id="1523295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04EC" w14:textId="7FC00DD3" w:rsidR="00627848" w:rsidRPr="00304DC6" w:rsidRDefault="00627848" w:rsidP="00627848">
    <w:pPr>
      <w:pStyle w:val="Footer"/>
    </w:pPr>
    <w:r w:rsidRPr="00293785">
      <w:rPr>
        <w:noProof/>
      </w:rPr>
      <mc:AlternateContent>
        <mc:Choice Requires="wps">
          <w:drawing>
            <wp:anchor distT="0" distB="0" distL="114300" distR="114300" simplePos="0" relativeHeight="251658239" behindDoc="0" locked="0" layoutInCell="1" allowOverlap="1" wp14:anchorId="026194B8" wp14:editId="38770439">
              <wp:simplePos x="0" y="0"/>
              <wp:positionH relativeFrom="column">
                <wp:posOffset>1097742</wp:posOffset>
              </wp:positionH>
              <wp:positionV relativeFrom="paragraph">
                <wp:posOffset>146685</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BF7651" w14:textId="54F37966" w:rsidR="00262515" w:rsidRPr="00262515" w:rsidRDefault="007C0CC2" w:rsidP="009E313E">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EndPr/>
                            <w:sdtContent>
                              <w:r w:rsidR="00262515" w:rsidRPr="00262515">
                                <w:t>Closing Time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194B8" id="_x0000_t202" coordsize="21600,21600" o:spt="202" path="m,l,21600r21600,l21600,xe">
              <v:stroke joinstyle="miter"/>
              <v:path gradientshapeok="t" o:connecttype="rect"/>
            </v:shapetype>
            <v:shape id="Text Box 6" o:spid="_x0000_s1027" type="#_x0000_t202" style="position:absolute;margin-left:86.45pt;margin-top:11.55pt;width:315pt;height: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0iYgIAADs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" filled="f" stroked="f">
              <v:textbox>
                <w:txbxContent>
                  <w:p w14:paraId="6FBF7651" w14:textId="54F37966" w:rsidR="00262515" w:rsidRPr="00262515" w:rsidRDefault="007C0CC2" w:rsidP="009E313E">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EndPr/>
                      <w:sdtContent>
                        <w:r w:rsidR="00262515" w:rsidRPr="00262515">
                          <w:t>Closing Time</w:t>
                        </w:r>
                      </w:sdtContent>
                    </w:sdt>
                  </w:p>
                </w:txbxContent>
              </v:textbox>
            </v:shape>
          </w:pict>
        </mc:Fallback>
      </mc:AlternateContent>
    </w:r>
  </w:p>
  <w:p w14:paraId="76688258" w14:textId="7BBF94E5" w:rsidR="00627848" w:rsidRPr="00304DC6" w:rsidRDefault="00627848" w:rsidP="00627848">
    <w:pPr>
      <w:pStyle w:val="Footer"/>
    </w:pPr>
    <w:r>
      <w:rPr>
        <w:noProof/>
      </w:rPr>
      <w:drawing>
        <wp:anchor distT="0" distB="0" distL="114300" distR="114300" simplePos="0" relativeHeight="251657214" behindDoc="1" locked="0" layoutInCell="1" allowOverlap="1" wp14:anchorId="67EA8381" wp14:editId="6EABD509">
          <wp:simplePos x="0" y="0"/>
          <wp:positionH relativeFrom="margin">
            <wp:posOffset>1270000</wp:posOffset>
          </wp:positionH>
          <wp:positionV relativeFrom="paragraph">
            <wp:posOffset>23322</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p w14:paraId="2E18E2C5" w14:textId="25E2FAFC" w:rsidR="00262515" w:rsidRDefault="00262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0B89" w14:textId="77777777" w:rsidR="007C0CC2" w:rsidRDefault="007C0CC2">
      <w:pPr>
        <w:spacing w:line="240" w:lineRule="auto"/>
      </w:pPr>
      <w:r>
        <w:separator/>
      </w:r>
    </w:p>
  </w:footnote>
  <w:footnote w:type="continuationSeparator" w:id="0">
    <w:p w14:paraId="15594A46" w14:textId="77777777" w:rsidR="007C0CC2" w:rsidRDefault="007C0C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98"/>
    <w:rsid w:val="00046C77"/>
    <w:rsid w:val="0005351C"/>
    <w:rsid w:val="000B40F3"/>
    <w:rsid w:val="0015535E"/>
    <w:rsid w:val="001E0590"/>
    <w:rsid w:val="001F316C"/>
    <w:rsid w:val="00262515"/>
    <w:rsid w:val="002728E5"/>
    <w:rsid w:val="002E3FD2"/>
    <w:rsid w:val="002F3AAB"/>
    <w:rsid w:val="00313F3B"/>
    <w:rsid w:val="003D0816"/>
    <w:rsid w:val="00437CE0"/>
    <w:rsid w:val="004C6F14"/>
    <w:rsid w:val="004E089F"/>
    <w:rsid w:val="004F18D6"/>
    <w:rsid w:val="00553B8B"/>
    <w:rsid w:val="005E1DC1"/>
    <w:rsid w:val="00627848"/>
    <w:rsid w:val="006A4C9E"/>
    <w:rsid w:val="00742CA6"/>
    <w:rsid w:val="00752951"/>
    <w:rsid w:val="007B486A"/>
    <w:rsid w:val="007C0CC2"/>
    <w:rsid w:val="007E422F"/>
    <w:rsid w:val="008443EB"/>
    <w:rsid w:val="0090085A"/>
    <w:rsid w:val="009C21FD"/>
    <w:rsid w:val="009D5767"/>
    <w:rsid w:val="009E313E"/>
    <w:rsid w:val="009F2207"/>
    <w:rsid w:val="00A569EC"/>
    <w:rsid w:val="00A65ED2"/>
    <w:rsid w:val="00A92EF2"/>
    <w:rsid w:val="00A93E9F"/>
    <w:rsid w:val="00B27263"/>
    <w:rsid w:val="00BF79C8"/>
    <w:rsid w:val="00C075F9"/>
    <w:rsid w:val="00C26698"/>
    <w:rsid w:val="00C466CD"/>
    <w:rsid w:val="00E04385"/>
    <w:rsid w:val="00E12EA5"/>
    <w:rsid w:val="00F10279"/>
    <w:rsid w:val="00F15F7E"/>
    <w:rsid w:val="00FD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E0B4"/>
  <w15:docId w15:val="{E8DF7757-5522-7D46-9F3A-27277DD7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089F"/>
    <w:pPr>
      <w:tabs>
        <w:tab w:val="center" w:pos="4680"/>
        <w:tab w:val="right" w:pos="9360"/>
      </w:tabs>
      <w:spacing w:line="240" w:lineRule="auto"/>
    </w:pPr>
  </w:style>
  <w:style w:type="character" w:customStyle="1" w:styleId="HeaderChar">
    <w:name w:val="Header Char"/>
    <w:basedOn w:val="DefaultParagraphFont"/>
    <w:link w:val="Header"/>
    <w:uiPriority w:val="99"/>
    <w:rsid w:val="004E089F"/>
  </w:style>
  <w:style w:type="paragraph" w:styleId="Footer">
    <w:name w:val="footer"/>
    <w:basedOn w:val="Normal"/>
    <w:link w:val="FooterChar"/>
    <w:uiPriority w:val="99"/>
    <w:unhideWhenUsed/>
    <w:rsid w:val="004E089F"/>
    <w:pPr>
      <w:tabs>
        <w:tab w:val="center" w:pos="4680"/>
        <w:tab w:val="right" w:pos="9360"/>
      </w:tabs>
      <w:spacing w:line="240" w:lineRule="auto"/>
    </w:pPr>
  </w:style>
  <w:style w:type="character" w:customStyle="1" w:styleId="FooterChar">
    <w:name w:val="Footer Char"/>
    <w:basedOn w:val="DefaultParagraphFont"/>
    <w:link w:val="Footer"/>
    <w:uiPriority w:val="99"/>
    <w:rsid w:val="004E089F"/>
  </w:style>
  <w:style w:type="paragraph" w:customStyle="1" w:styleId="LessonFooter">
    <w:name w:val="Lesson Footer"/>
    <w:basedOn w:val="Footer"/>
    <w:next w:val="Footer"/>
    <w:link w:val="LessonFooterChar"/>
    <w:autoRedefine/>
    <w:qFormat/>
    <w:rsid w:val="009E313E"/>
    <w:pPr>
      <w:jc w:val="right"/>
    </w:pPr>
    <w:rPr>
      <w:rFonts w:ascii="Calibri" w:eastAsiaTheme="minorHAnsi" w:hAnsi="Calibri" w:cs="Calibri"/>
      <w:b/>
      <w:caps/>
      <w:color w:val="2D2D2D"/>
      <w:sz w:val="24"/>
      <w:lang w:val="en-US"/>
    </w:rPr>
  </w:style>
  <w:style w:type="character" w:customStyle="1" w:styleId="LessonFooterChar">
    <w:name w:val="Lesson Footer Char"/>
    <w:basedOn w:val="DefaultParagraphFont"/>
    <w:link w:val="LessonFooter"/>
    <w:rsid w:val="009E313E"/>
    <w:rPr>
      <w:rFonts w:ascii="Calibri" w:eastAsiaTheme="minorHAnsi" w:hAnsi="Calibri" w:cs="Calibri"/>
      <w:b/>
      <w:caps/>
      <w:color w:val="2D2D2D"/>
      <w:sz w:val="24"/>
      <w:lang w:val="en-US"/>
    </w:rPr>
  </w:style>
  <w:style w:type="character" w:styleId="PlaceholderText">
    <w:name w:val="Placeholder Text"/>
    <w:basedOn w:val="DefaultParagraphFont"/>
    <w:uiPriority w:val="99"/>
    <w:semiHidden/>
    <w:rsid w:val="00F10279"/>
    <w:rPr>
      <w:color w:val="808080"/>
    </w:rPr>
  </w:style>
  <w:style w:type="character" w:customStyle="1" w:styleId="author">
    <w:name w:val="author"/>
    <w:basedOn w:val="DefaultParagraphFont"/>
    <w:rsid w:val="00E04385"/>
  </w:style>
  <w:style w:type="character" w:customStyle="1" w:styleId="pubyear">
    <w:name w:val="pubyear"/>
    <w:basedOn w:val="DefaultParagraphFont"/>
    <w:rsid w:val="00E04385"/>
  </w:style>
  <w:style w:type="character" w:customStyle="1" w:styleId="othertitle">
    <w:name w:val="othertitle"/>
    <w:basedOn w:val="DefaultParagraphFont"/>
    <w:rsid w:val="00E04385"/>
  </w:style>
  <w:style w:type="character" w:styleId="Hyperlink">
    <w:name w:val="Hyperlink"/>
    <w:basedOn w:val="DefaultParagraphFont"/>
    <w:uiPriority w:val="99"/>
    <w:semiHidden/>
    <w:unhideWhenUsed/>
    <w:rsid w:val="00E04385"/>
    <w:rPr>
      <w:color w:val="0000FF"/>
      <w:u w:val="single"/>
    </w:rPr>
  </w:style>
  <w:style w:type="character" w:customStyle="1" w:styleId="booktitle">
    <w:name w:val="booktitle"/>
    <w:basedOn w:val="DefaultParagraphFont"/>
    <w:rsid w:val="00E04385"/>
  </w:style>
  <w:style w:type="character" w:customStyle="1" w:styleId="edition">
    <w:name w:val="edition"/>
    <w:basedOn w:val="DefaultParagraphFont"/>
    <w:rsid w:val="00E04385"/>
  </w:style>
  <w:style w:type="character" w:customStyle="1" w:styleId="publisherlocation">
    <w:name w:val="publisherlocation"/>
    <w:basedOn w:val="DefaultParagraphFont"/>
    <w:rsid w:val="00E04385"/>
  </w:style>
  <w:style w:type="character" w:customStyle="1" w:styleId="articletitle">
    <w:name w:val="articletitle"/>
    <w:basedOn w:val="DefaultParagraphFont"/>
    <w:rsid w:val="00E04385"/>
  </w:style>
  <w:style w:type="character" w:customStyle="1" w:styleId="vol">
    <w:name w:val="vol"/>
    <w:basedOn w:val="DefaultParagraphFont"/>
    <w:rsid w:val="00E04385"/>
  </w:style>
  <w:style w:type="character" w:customStyle="1" w:styleId="citedissue">
    <w:name w:val="citedissue"/>
    <w:basedOn w:val="DefaultParagraphFont"/>
    <w:rsid w:val="00E04385"/>
  </w:style>
  <w:style w:type="character" w:customStyle="1" w:styleId="pagefirst">
    <w:name w:val="pagefirst"/>
    <w:basedOn w:val="DefaultParagraphFont"/>
    <w:rsid w:val="00E04385"/>
  </w:style>
  <w:style w:type="character" w:customStyle="1" w:styleId="pagelast">
    <w:name w:val="pagelast"/>
    <w:basedOn w:val="DefaultParagraphFont"/>
    <w:rsid w:val="00E04385"/>
  </w:style>
  <w:style w:type="character" w:customStyle="1" w:styleId="groupname">
    <w:name w:val="groupname"/>
    <w:basedOn w:val="DefaultParagraphFont"/>
    <w:rsid w:val="00E0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earn.k20center.ou.edu/collection/33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thetechieteacher.net/2016/08/5-techie-ideas-for-lesson-closure.html" TargetMode="Externa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Closing Time</vt:lpstr>
    </vt:vector>
  </TitlesOfParts>
  <Manager/>
  <Company/>
  <LinksUpToDate>false</LinksUpToDate>
  <CharactersWithSpaces>7524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Time</dc:title>
  <dc:subject>Writing Instruction</dc:subject>
  <dc:creator>K20 Center</dc:creator>
  <cp:keywords/>
  <dc:description/>
  <cp:lastModifiedBy>McLeod Porter, Delma</cp:lastModifiedBy>
  <cp:revision>2</cp:revision>
  <cp:lastPrinted>2026-06-10T18:26:00Z</cp:lastPrinted>
  <dcterms:created xsi:type="dcterms:W3CDTF">2026-07-01T13:29:00Z</dcterms:created>
  <dcterms:modified xsi:type="dcterms:W3CDTF">2026-07-01T13:29:00Z</dcterms:modified>
  <cp:category/>
</cp:coreProperties>
</file>