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F887" w14:textId="77777777" w:rsidR="00DB0A60" w:rsidRDefault="00DB0A60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DB0A60" w14:paraId="50380E36" w14:textId="77777777" w:rsidTr="00A1775E">
        <w:trPr>
          <w:trHeight w:val="567"/>
        </w:trPr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2CF6" w14:textId="77777777" w:rsidR="00DB0A60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1: Fish Is Fish</w:t>
            </w:r>
          </w:p>
        </w:tc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8BA4" w14:textId="77777777" w:rsidR="00DB0A60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2: Putting Students in Charge of Their Learning Journey</w:t>
            </w:r>
          </w:p>
        </w:tc>
      </w:tr>
      <w:tr w:rsidR="00DB0A60" w14:paraId="3E3F6900" w14:textId="77777777" w:rsidTr="00A1775E"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FC38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C29B893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79ABD23" w14:textId="77777777" w:rsidR="00DB0A60" w:rsidRDefault="00000000">
            <w:pPr>
              <w:widowControl w:val="0"/>
              <w:numPr>
                <w:ilvl w:val="0"/>
                <w:numId w:val="2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 xml:space="preserve">If you were the fish, what gaps would still exist in your understanding that would require explanation? </w:t>
            </w:r>
          </w:p>
          <w:p w14:paraId="1656CA79" w14:textId="77777777" w:rsidR="00DB0A60" w:rsidRDefault="00DB0A60">
            <w:pPr>
              <w:widowControl w:val="0"/>
              <w:spacing w:after="320"/>
              <w:ind w:left="7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1AA246DF" w14:textId="77777777" w:rsidR="00DB0A60" w:rsidRDefault="00DB0A60">
            <w:pPr>
              <w:widowControl w:val="0"/>
              <w:spacing w:after="320"/>
              <w:ind w:left="7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5E85945A" w14:textId="77777777" w:rsidR="00DB0A60" w:rsidRDefault="00000000">
            <w:pPr>
              <w:widowControl w:val="0"/>
              <w:numPr>
                <w:ilvl w:val="0"/>
                <w:numId w:val="2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 xml:space="preserve">What does the story of </w:t>
            </w:r>
            <w:r>
              <w:rPr>
                <w:rFonts w:ascii="Calibri" w:eastAsia="Calibri" w:hAnsi="Calibri" w:cs="Calibri"/>
                <w:i/>
                <w:color w:val="292929"/>
                <w:sz w:val="24"/>
                <w:szCs w:val="24"/>
                <w:highlight w:val="white"/>
              </w:rPr>
              <w:t>Fish is Fish</w:t>
            </w: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 xml:space="preserve"> tell us about how students learn? </w:t>
            </w:r>
          </w:p>
          <w:p w14:paraId="45993B81" w14:textId="77777777" w:rsidR="00DB0A60" w:rsidRDefault="00DB0A60">
            <w:pPr>
              <w:widowControl w:val="0"/>
              <w:spacing w:after="320"/>
              <w:ind w:left="7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228C928A" w14:textId="77777777" w:rsidR="00DB0A60" w:rsidRDefault="00DB0A60">
            <w:pPr>
              <w:widowControl w:val="0"/>
              <w:spacing w:after="320"/>
              <w:ind w:left="7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05DE8756" w14:textId="77777777" w:rsidR="00DB0A60" w:rsidRDefault="00000000">
            <w:pPr>
              <w:widowControl w:val="0"/>
              <w:numPr>
                <w:ilvl w:val="0"/>
                <w:numId w:val="2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 xml:space="preserve">How might research on prior knowledge impact our teaching practices? </w:t>
            </w:r>
          </w:p>
          <w:p w14:paraId="44FAA17E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5E1241E7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7D7720AB" w14:textId="77777777" w:rsidR="00DB0A60" w:rsidRDefault="00DB0A60">
            <w:pPr>
              <w:widowControl w:val="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</w:tc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3396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720D7E3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206E381" w14:textId="77777777" w:rsidR="00DB0A6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>What does the video tell us about how students learn?</w:t>
            </w:r>
          </w:p>
          <w:p w14:paraId="2D527CA5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ind w:left="7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508482EF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ind w:left="7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069FDF1F" w14:textId="77777777" w:rsidR="00DB0A6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>How does research about the introduction of experiences before concepts impact our teaching practices?</w:t>
            </w:r>
          </w:p>
        </w:tc>
      </w:tr>
      <w:tr w:rsidR="00DB0A60" w14:paraId="4DA0222E" w14:textId="77777777" w:rsidTr="00A1775E"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FC72" w14:textId="77777777" w:rsidR="00DB0A60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Station 3: A Problem with Cottage Cheese</w:t>
            </w:r>
          </w:p>
        </w:tc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53EA" w14:textId="77777777" w:rsidR="00DB0A60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4: Inquiry Stations</w:t>
            </w:r>
          </w:p>
        </w:tc>
      </w:tr>
      <w:tr w:rsidR="00DB0A60" w14:paraId="3C8F7BBE" w14:textId="77777777" w:rsidTr="00A1775E"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2750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B8CF16A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916690B" w14:textId="77777777" w:rsidR="00DB0A60" w:rsidRDefault="00000000">
            <w:pPr>
              <w:widowControl w:val="0"/>
              <w:numPr>
                <w:ilvl w:val="0"/>
                <w:numId w:val="4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>A cook has ⅔ of a cup of cottage cheese. He needs ¾ of this amount for his recipe. How can he get ¾ of the ⅔ cup of cottage cheese?</w:t>
            </w:r>
          </w:p>
          <w:p w14:paraId="0BC8964D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293AD081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505DB81C" w14:textId="77777777" w:rsidR="00DB0A60" w:rsidRDefault="00000000">
            <w:pPr>
              <w:widowControl w:val="0"/>
              <w:numPr>
                <w:ilvl w:val="0"/>
                <w:numId w:val="4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>Explain the steps you took or the logic you used to arrive at an answer.</w:t>
            </w:r>
          </w:p>
          <w:p w14:paraId="366CDC72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0951C5D4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211F0346" w14:textId="77777777" w:rsidR="00DB0A60" w:rsidRDefault="00000000">
            <w:pPr>
              <w:widowControl w:val="0"/>
              <w:numPr>
                <w:ilvl w:val="0"/>
                <w:numId w:val="4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>Reflect on your thought process for solving the cottage cheese problem. What does each person’s unique approach to solving the problem tell you about how students learn?</w:t>
            </w:r>
          </w:p>
          <w:p w14:paraId="3DCD632E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</w:tc>
        <w:tc>
          <w:tcPr>
            <w:tcW w:w="64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B1E2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4EDA3B" w14:textId="77777777" w:rsidR="00DB0A60" w:rsidRDefault="00DB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016ECF0" w14:textId="77777777" w:rsidR="00DB0A60" w:rsidRDefault="00000000">
            <w:pPr>
              <w:widowControl w:val="0"/>
              <w:numPr>
                <w:ilvl w:val="0"/>
                <w:numId w:val="1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>From 3:25 to 8:50 in the video, what does it look like, sound like, and feel like when students are learning in a social context?</w:t>
            </w:r>
          </w:p>
          <w:p w14:paraId="4A8C956B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0E4D08BC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3C54C620" w14:textId="77777777" w:rsidR="00DB0A60" w:rsidRDefault="00DB0A60">
            <w:pPr>
              <w:widowControl w:val="0"/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</w:p>
          <w:p w14:paraId="1B418B73" w14:textId="77777777" w:rsidR="00DB0A60" w:rsidRDefault="00000000">
            <w:pPr>
              <w:widowControl w:val="0"/>
              <w:numPr>
                <w:ilvl w:val="0"/>
                <w:numId w:val="1"/>
              </w:numPr>
              <w:spacing w:after="320"/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92929"/>
                <w:sz w:val="24"/>
                <w:szCs w:val="24"/>
                <w:highlight w:val="white"/>
              </w:rPr>
              <w:t xml:space="preserve">How does research about the importance of peer learning impact our teaching practices? </w:t>
            </w:r>
          </w:p>
        </w:tc>
      </w:tr>
    </w:tbl>
    <w:p w14:paraId="678AEE01" w14:textId="77777777" w:rsidR="00DB0A60" w:rsidRDefault="00DB0A60"/>
    <w:sectPr w:rsidR="00DB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0419" w14:textId="77777777" w:rsidR="006803B9" w:rsidRDefault="006803B9">
      <w:pPr>
        <w:spacing w:line="240" w:lineRule="auto"/>
      </w:pPr>
      <w:r>
        <w:separator/>
      </w:r>
    </w:p>
  </w:endnote>
  <w:endnote w:type="continuationSeparator" w:id="0">
    <w:p w14:paraId="7AE822AE" w14:textId="77777777" w:rsidR="006803B9" w:rsidRDefault="00680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0A92" w14:textId="77777777" w:rsidR="00A1775E" w:rsidRDefault="00A17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03F4" w14:textId="77777777" w:rsidR="00DB0A60" w:rsidRDefault="00000000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610464" wp14:editId="2FF217AB">
              <wp:simplePos x="0" y="0"/>
              <wp:positionH relativeFrom="column">
                <wp:posOffset>3752850</wp:posOffset>
              </wp:positionH>
              <wp:positionV relativeFrom="paragraph">
                <wp:posOffset>-39099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01DDB" w14:textId="77777777" w:rsidR="00DB0A60" w:rsidRPr="00A1775E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A1775E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HOW PEOPLE LEARN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610464" id="Rectangle 1" o:spid="_x0000_s1026" style="position:absolute;left:0;text-align:left;margin-left:295.5pt;margin-top:-3.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IwpySXiAAAADwEAAA8AAABkcnMvZG93bnJldi54&#13;&#10;bWxMj81OwzAQhO9IvIO1SNxaJ1aTQhqnQvwcOJJy4OjGSxJhryPbadO3xz3BZaXR7s7MV+8Xa9gJ&#13;&#10;fRgdScjXGTCkzumRegmfh7fVA7AQFWllHKGECwbYN7c3taq0O9MHntrYs2RCoVIShhinivPQDWhV&#13;&#10;WLsJKe2+nbcqJul7rr06J3NruMiykls1UkoY1ITPA3Y/7WwlTGj0bDZt9tXxV095+X7gl0LK+7vl&#13;&#10;ZZfG0w5YxCX+fcCVIfWHJhU7upl0YEZC8ZgnoChhVQpg1wMhRAHsKGGTb4E3Nf/P0fwC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jCnJJeIAAAAPAQAADwAAAAAAAAAAAAAAAAAQBAAA&#13;&#10;ZHJzL2Rvd25yZXYueG1sUEsFBgAAAAAEAAQA8wAAAB8FAAAAAA==&#13;&#10;" filled="f" stroked="f">
              <v:textbox inset="2.53958mm,1.2694mm,2.53958mm,1.2694mm">
                <w:txbxContent>
                  <w:p w14:paraId="06601DDB" w14:textId="77777777" w:rsidR="00DB0A60" w:rsidRPr="00A1775E" w:rsidRDefault="00000000">
                    <w:pPr>
                      <w:spacing w:line="240" w:lineRule="auto"/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 w:rsidRPr="00A1775E"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  <w:szCs w:val="24"/>
                      </w:rPr>
                      <w:t>HOW PEOPLE LEARN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582BC75" wp14:editId="3384BD54">
          <wp:simplePos x="0" y="0"/>
          <wp:positionH relativeFrom="column">
            <wp:posOffset>3657600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FC70" w14:textId="77777777" w:rsidR="00A1775E" w:rsidRDefault="00A17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086B" w14:textId="77777777" w:rsidR="006803B9" w:rsidRDefault="006803B9">
      <w:pPr>
        <w:spacing w:line="240" w:lineRule="auto"/>
      </w:pPr>
      <w:r>
        <w:separator/>
      </w:r>
    </w:p>
  </w:footnote>
  <w:footnote w:type="continuationSeparator" w:id="0">
    <w:p w14:paraId="58841565" w14:textId="77777777" w:rsidR="006803B9" w:rsidRDefault="00680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BF2D" w14:textId="77777777" w:rsidR="00A1775E" w:rsidRDefault="00A17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B2DA" w14:textId="77777777" w:rsidR="00DB0A60" w:rsidRDefault="00000000">
    <w:r>
      <w:rPr>
        <w:rFonts w:ascii="Calibri" w:eastAsia="Calibri" w:hAnsi="Calibri" w:cs="Calibri"/>
        <w:b/>
        <w:sz w:val="32"/>
        <w:szCs w:val="32"/>
      </w:rPr>
      <w:t>CHAT STATIONS</w:t>
    </w:r>
  </w:p>
  <w:p w14:paraId="4FE64237" w14:textId="77777777" w:rsidR="00DB0A60" w:rsidRDefault="00DB0A60">
    <w:pPr>
      <w:rPr>
        <w:rFonts w:ascii="Calibri" w:eastAsia="Calibri" w:hAnsi="Calibri" w:cs="Calibr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58D9" w14:textId="77777777" w:rsidR="00A1775E" w:rsidRDefault="00A17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624"/>
    <w:multiLevelType w:val="multilevel"/>
    <w:tmpl w:val="46BAC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20DE1"/>
    <w:multiLevelType w:val="multilevel"/>
    <w:tmpl w:val="36247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132322"/>
    <w:multiLevelType w:val="multilevel"/>
    <w:tmpl w:val="ED02F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E57213"/>
    <w:multiLevelType w:val="multilevel"/>
    <w:tmpl w:val="3F340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6990940">
    <w:abstractNumId w:val="1"/>
  </w:num>
  <w:num w:numId="2" w16cid:durableId="78215137">
    <w:abstractNumId w:val="2"/>
  </w:num>
  <w:num w:numId="3" w16cid:durableId="480318277">
    <w:abstractNumId w:val="3"/>
  </w:num>
  <w:num w:numId="4" w16cid:durableId="201368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60"/>
    <w:rsid w:val="006803B9"/>
    <w:rsid w:val="00A1775E"/>
    <w:rsid w:val="00B42BFF"/>
    <w:rsid w:val="00D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F1921"/>
  <w15:docId w15:val="{8AE2D03E-C9AF-8E40-B5D3-6517436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77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5E"/>
  </w:style>
  <w:style w:type="paragraph" w:styleId="Footer">
    <w:name w:val="footer"/>
    <w:basedOn w:val="Normal"/>
    <w:link w:val="FooterChar"/>
    <w:uiPriority w:val="99"/>
    <w:unhideWhenUsed/>
    <w:rsid w:val="00A177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957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People Learn</dc:title>
  <dc:subject/>
  <dc:creator>K20 Center</dc:creator>
  <cp:keywords/>
  <dc:description/>
  <cp:lastModifiedBy>Gracia, Ann M.</cp:lastModifiedBy>
  <cp:revision>3</cp:revision>
  <dcterms:created xsi:type="dcterms:W3CDTF">2024-09-03T16:08:00Z</dcterms:created>
  <dcterms:modified xsi:type="dcterms:W3CDTF">2024-09-03T16:08:00Z</dcterms:modified>
  <cp:category/>
</cp:coreProperties>
</file>