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4325" w14:textId="77777777" w:rsidR="00AE667D" w:rsidRDefault="00AE667D" w:rsidP="00AE667D">
      <w:pPr>
        <w:pStyle w:val="Title"/>
      </w:pPr>
      <w:bookmarkStart w:id="0" w:name="_heading=h.gjdgxs" w:colFirst="0" w:colLast="0"/>
      <w:bookmarkEnd w:id="0"/>
      <w:r>
        <w:t>CARD SORT</w:t>
      </w:r>
    </w:p>
    <w:tbl>
      <w:tblPr>
        <w:tblW w:w="9330" w:type="dxa"/>
        <w:tblBorders>
          <w:top w:val="dashed" w:sz="12" w:space="0" w:color="BED7D3"/>
          <w:left w:val="dashed" w:sz="12" w:space="0" w:color="BED7D3"/>
          <w:bottom w:val="dashed" w:sz="12" w:space="0" w:color="BED7D3"/>
          <w:right w:val="dashed" w:sz="12" w:space="0" w:color="BED7D3"/>
          <w:insideH w:val="dashed" w:sz="12" w:space="0" w:color="BED7D3"/>
          <w:insideV w:val="dashed" w:sz="12" w:space="0" w:color="BED7D3"/>
        </w:tblBorders>
        <w:tblLayout w:type="fixed"/>
        <w:tblLook w:val="0400" w:firstRow="0" w:lastRow="0" w:firstColumn="0" w:lastColumn="0" w:noHBand="0" w:noVBand="1"/>
      </w:tblPr>
      <w:tblGrid>
        <w:gridCol w:w="4665"/>
        <w:gridCol w:w="4665"/>
      </w:tblGrid>
      <w:tr w:rsidR="00AE667D" w14:paraId="2036ED0F" w14:textId="77777777" w:rsidTr="00AE667D">
        <w:trPr>
          <w:trHeight w:val="2598"/>
        </w:trPr>
        <w:tc>
          <w:tcPr>
            <w:tcW w:w="9330" w:type="dxa"/>
            <w:gridSpan w:val="2"/>
            <w:tcBorders>
              <w:top w:val="dashed" w:sz="12" w:space="0" w:color="288AC3" w:themeColor="accent1"/>
              <w:left w:val="dashed" w:sz="12" w:space="0" w:color="288AC3" w:themeColor="accent1"/>
              <w:right w:val="dashed" w:sz="12" w:space="0" w:color="288AC3" w:themeColor="accent1"/>
            </w:tcBorders>
            <w:vAlign w:val="center"/>
          </w:tcPr>
          <w:p w14:paraId="5720CBCA" w14:textId="77777777" w:rsidR="00AE667D" w:rsidRDefault="00AE667D" w:rsidP="00E56BE7">
            <w:pPr>
              <w:rPr>
                <w:color w:val="000000"/>
                <w:sz w:val="38"/>
                <w:szCs w:val="38"/>
              </w:rPr>
            </w:pPr>
            <w:r>
              <w:rPr>
                <w:b/>
                <w:sz w:val="32"/>
                <w:szCs w:val="32"/>
                <w:u w:val="single"/>
              </w:rPr>
              <w:t>Card Sort instructions</w:t>
            </w:r>
            <w:r>
              <w:rPr>
                <w:b/>
                <w:sz w:val="32"/>
                <w:szCs w:val="32"/>
              </w:rPr>
              <w:t>:</w:t>
            </w:r>
            <w:r>
              <w:rPr>
                <w:sz w:val="32"/>
                <w:szCs w:val="32"/>
              </w:rPr>
              <w:t xml:space="preserve"> </w:t>
            </w:r>
            <w:r>
              <w:rPr>
                <w:color w:val="292929"/>
                <w:sz w:val="32"/>
                <w:szCs w:val="32"/>
              </w:rPr>
              <w:t>Match each Oklahoma Mathematics Academic Standard card with the card(s) that describe the necessary prior knowledge students would need before learning the skills outlined in the standard.</w:t>
            </w:r>
          </w:p>
        </w:tc>
      </w:tr>
      <w:tr w:rsidR="00AE667D" w14:paraId="36DD22F0" w14:textId="77777777" w:rsidTr="00AE667D">
        <w:trPr>
          <w:trHeight w:val="4254"/>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763128C5" w14:textId="77777777" w:rsidR="00AE667D" w:rsidRDefault="00AE667D" w:rsidP="00E56BE7">
            <w:pPr>
              <w:pBdr>
                <w:top w:val="nil"/>
                <w:left w:val="nil"/>
                <w:bottom w:val="nil"/>
                <w:right w:val="nil"/>
                <w:between w:val="nil"/>
              </w:pBdr>
              <w:spacing w:after="0" w:line="240" w:lineRule="auto"/>
              <w:jc w:val="center"/>
              <w:rPr>
                <w:color w:val="000000"/>
                <w:sz w:val="30"/>
                <w:szCs w:val="30"/>
              </w:rPr>
            </w:pPr>
            <w:r>
              <w:rPr>
                <w:color w:val="000000"/>
                <w:sz w:val="30"/>
                <w:szCs w:val="30"/>
              </w:rPr>
              <w:t>Compare and order positive rational numbers or integers using the symbols</w:t>
            </w:r>
            <w:r>
              <w:rPr>
                <w:sz w:val="30"/>
                <w:szCs w:val="30"/>
              </w:rPr>
              <w:t xml:space="preserve"> &lt;, &gt;, and =. </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56F602FA" w14:textId="77777777" w:rsidR="00AE667D" w:rsidRDefault="00AE667D" w:rsidP="00E56BE7">
            <w:pPr>
              <w:pBdr>
                <w:top w:val="nil"/>
                <w:left w:val="nil"/>
                <w:bottom w:val="nil"/>
                <w:right w:val="nil"/>
                <w:between w:val="nil"/>
              </w:pBdr>
              <w:spacing w:after="0" w:line="240" w:lineRule="auto"/>
              <w:jc w:val="center"/>
              <w:rPr>
                <w:color w:val="000000"/>
                <w:sz w:val="30"/>
                <w:szCs w:val="30"/>
              </w:rPr>
            </w:pPr>
            <w:r>
              <w:rPr>
                <w:sz w:val="30"/>
                <w:szCs w:val="30"/>
              </w:rPr>
              <w:t xml:space="preserve">Generate equivalent expressions and evaluate expressions involving positive rational numbers by applying the commutative, associative, and distributive properties and the order of operations to solve mathematical problems. </w:t>
            </w:r>
          </w:p>
        </w:tc>
      </w:tr>
      <w:tr w:rsidR="00AE667D" w14:paraId="7AB2FA98" w14:textId="77777777" w:rsidTr="00AE667D">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5C921D2A" w14:textId="77777777" w:rsidR="00AE667D" w:rsidRDefault="00AE667D" w:rsidP="00E56BE7">
            <w:pPr>
              <w:pBdr>
                <w:top w:val="nil"/>
                <w:left w:val="nil"/>
                <w:bottom w:val="nil"/>
                <w:right w:val="nil"/>
                <w:between w:val="nil"/>
              </w:pBdr>
              <w:spacing w:after="0" w:line="240" w:lineRule="auto"/>
              <w:jc w:val="center"/>
              <w:rPr>
                <w:color w:val="000000"/>
                <w:sz w:val="30"/>
                <w:szCs w:val="30"/>
              </w:rPr>
            </w:pPr>
            <w:r>
              <w:rPr>
                <w:color w:val="000000"/>
                <w:sz w:val="30"/>
                <w:szCs w:val="30"/>
              </w:rPr>
              <w:t>Represent relationships between two varying positive quantities involving no more than two operations with rules, graphs, and tables</w:t>
            </w:r>
            <w:r>
              <w:rPr>
                <w:sz w:val="30"/>
                <w:szCs w:val="30"/>
              </w:rPr>
              <w:t xml:space="preserve"> and</w:t>
            </w:r>
            <w:r>
              <w:rPr>
                <w:color w:val="000000"/>
                <w:sz w:val="30"/>
                <w:szCs w:val="30"/>
              </w:rPr>
              <w:t xml:space="preserve"> translate between any two of these representations.</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6C75B523" w14:textId="77777777" w:rsidR="00AE667D" w:rsidRDefault="00AE667D" w:rsidP="00E56BE7">
            <w:pPr>
              <w:pBdr>
                <w:top w:val="nil"/>
                <w:left w:val="nil"/>
                <w:bottom w:val="nil"/>
                <w:right w:val="nil"/>
                <w:between w:val="nil"/>
              </w:pBdr>
              <w:spacing w:after="0" w:line="240" w:lineRule="auto"/>
              <w:jc w:val="center"/>
              <w:rPr>
                <w:color w:val="000000"/>
                <w:sz w:val="30"/>
                <w:szCs w:val="30"/>
              </w:rPr>
            </w:pPr>
            <w:r>
              <w:rPr>
                <w:color w:val="000000"/>
                <w:sz w:val="30"/>
                <w:szCs w:val="30"/>
              </w:rPr>
              <w:t>Compare and order rational numbers expressed in various forms using the symbols &lt;, &gt;, and =.</w:t>
            </w:r>
          </w:p>
        </w:tc>
      </w:tr>
      <w:tr w:rsidR="00AE667D" w14:paraId="1C2574AB" w14:textId="77777777" w:rsidTr="00AE667D">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3F44953A" w14:textId="77777777" w:rsidR="00AE667D" w:rsidRDefault="00AE667D" w:rsidP="00E56BE7">
            <w:pPr>
              <w:pBdr>
                <w:top w:val="nil"/>
                <w:left w:val="nil"/>
                <w:bottom w:val="nil"/>
                <w:right w:val="nil"/>
                <w:between w:val="nil"/>
              </w:pBdr>
              <w:spacing w:after="0" w:line="240" w:lineRule="auto"/>
              <w:jc w:val="center"/>
              <w:rPr>
                <w:color w:val="000000"/>
                <w:sz w:val="30"/>
                <w:szCs w:val="30"/>
              </w:rPr>
            </w:pPr>
            <w:r>
              <w:rPr>
                <w:sz w:val="30"/>
                <w:szCs w:val="30"/>
              </w:rPr>
              <w:lastRenderedPageBreak/>
              <w:t xml:space="preserve">Use the associative, commutative, and distributive properties of operations to generate equivalent numerical and algebraic expressions containing rational numbers, grouping symbols, and whole number exponents. </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451D9D39" w14:textId="77777777" w:rsidR="00AE667D" w:rsidRDefault="00AE667D" w:rsidP="00E56BE7">
            <w:pPr>
              <w:pBdr>
                <w:top w:val="nil"/>
                <w:left w:val="nil"/>
                <w:bottom w:val="nil"/>
                <w:right w:val="nil"/>
                <w:between w:val="nil"/>
              </w:pBdr>
              <w:spacing w:after="0" w:line="240" w:lineRule="auto"/>
              <w:jc w:val="center"/>
              <w:rPr>
                <w:color w:val="000000"/>
                <w:sz w:val="30"/>
                <w:szCs w:val="30"/>
              </w:rPr>
            </w:pPr>
            <w:r>
              <w:rPr>
                <w:color w:val="000000"/>
                <w:sz w:val="30"/>
                <w:szCs w:val="30"/>
              </w:rPr>
              <w:t>Represent proportional relationships with tables, verbal descriptions, symbols, and graphs</w:t>
            </w:r>
            <w:r>
              <w:rPr>
                <w:sz w:val="30"/>
                <w:szCs w:val="30"/>
              </w:rPr>
              <w:t xml:space="preserve"> and</w:t>
            </w:r>
            <w:r>
              <w:rPr>
                <w:color w:val="000000"/>
                <w:sz w:val="30"/>
                <w:szCs w:val="30"/>
              </w:rPr>
              <w:t xml:space="preserve"> translate from one representation to another. Determine and compare the unit rate (constant of proportionality, slope, or rate of change) given any of these representations.</w:t>
            </w:r>
          </w:p>
        </w:tc>
      </w:tr>
      <w:tr w:rsidR="00AE667D" w14:paraId="34338299" w14:textId="77777777" w:rsidTr="00AE667D">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63F9793E" w14:textId="77777777" w:rsidR="00AE667D" w:rsidRDefault="00AE667D" w:rsidP="00E56BE7">
            <w:pPr>
              <w:jc w:val="center"/>
              <w:rPr>
                <w:sz w:val="30"/>
                <w:szCs w:val="30"/>
              </w:rPr>
            </w:pPr>
            <w:r>
              <w:rPr>
                <w:sz w:val="30"/>
                <w:szCs w:val="30"/>
              </w:rPr>
              <w:t>Demonstrate an understanding of the proportional relationship between the diameter and circumference of a circle. Understand that the unit rate (constant of proportionality) is pi (𝜋) and can be approximated by rational numbers such as 22/7 and 3.14.</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74AD3768" w14:textId="77777777" w:rsidR="00AE667D" w:rsidRDefault="00AE667D" w:rsidP="00E56BE7">
            <w:pPr>
              <w:jc w:val="center"/>
              <w:rPr>
                <w:sz w:val="30"/>
                <w:szCs w:val="30"/>
              </w:rPr>
            </w:pPr>
            <w:r>
              <w:rPr>
                <w:sz w:val="30"/>
                <w:szCs w:val="30"/>
              </w:rPr>
              <w:t>Understand the concept that the surface area of a rectangular prism can be found by wrapping the figure with same-sized square units without gaps or overlap. Determine surface area using a variety of tools, different strategies, and appropriate measurements (e.g., cm</w:t>
            </w:r>
            <w:r>
              <w:rPr>
                <w:sz w:val="30"/>
                <w:szCs w:val="30"/>
                <w:vertAlign w:val="superscript"/>
              </w:rPr>
              <w:t>3</w:t>
            </w:r>
            <w:r>
              <w:rPr>
                <w:sz w:val="30"/>
                <w:szCs w:val="30"/>
              </w:rPr>
              <w:t>).</w:t>
            </w:r>
          </w:p>
        </w:tc>
      </w:tr>
      <w:tr w:rsidR="00AE667D" w14:paraId="6932337B" w14:textId="77777777" w:rsidTr="00AE667D">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3725FE20" w14:textId="77777777" w:rsidR="00AE667D" w:rsidRDefault="00AE667D" w:rsidP="00E56BE7">
            <w:pPr>
              <w:jc w:val="center"/>
              <w:rPr>
                <w:sz w:val="30"/>
                <w:szCs w:val="30"/>
              </w:rPr>
            </w:pPr>
            <w:r>
              <w:rPr>
                <w:sz w:val="30"/>
                <w:szCs w:val="30"/>
              </w:rPr>
              <w:t>Design simple experiments, collect data, and calculate measures of center (mean, median, and mode) and spread (range and interquartile range). Use these quantities to draw conclusions about the data collected and make predictions.</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4792E399" w14:textId="77777777" w:rsidR="00AE667D" w:rsidRDefault="00AE667D" w:rsidP="00E56BE7">
            <w:pPr>
              <w:jc w:val="center"/>
              <w:rPr>
                <w:b/>
                <w:sz w:val="30"/>
                <w:szCs w:val="30"/>
              </w:rPr>
            </w:pPr>
            <w:r>
              <w:rPr>
                <w:b/>
                <w:sz w:val="30"/>
                <w:szCs w:val="30"/>
              </w:rPr>
              <w:t xml:space="preserve">Compare and order real numbers and locate real numbers on a number line. </w:t>
            </w:r>
          </w:p>
        </w:tc>
      </w:tr>
    </w:tbl>
    <w:p w14:paraId="45EDD9CA" w14:textId="77777777" w:rsidR="00AE667D" w:rsidRDefault="00AE667D" w:rsidP="00AE667D">
      <w:pPr>
        <w:pStyle w:val="Title"/>
        <w:rPr>
          <w:b w:val="0"/>
          <w:sz w:val="30"/>
          <w:szCs w:val="30"/>
        </w:rPr>
      </w:pPr>
    </w:p>
    <w:p w14:paraId="50C8E7A2" w14:textId="77777777" w:rsidR="00AE667D" w:rsidRDefault="00AE667D" w:rsidP="00AE667D">
      <w:pPr>
        <w:pStyle w:val="Title"/>
        <w:rPr>
          <w:b w:val="0"/>
          <w:sz w:val="30"/>
          <w:szCs w:val="30"/>
        </w:rPr>
      </w:pPr>
    </w:p>
    <w:tbl>
      <w:tblPr>
        <w:tblW w:w="9330" w:type="dxa"/>
        <w:tblBorders>
          <w:top w:val="dashed" w:sz="12" w:space="0" w:color="BED7D3"/>
          <w:left w:val="dashed" w:sz="12" w:space="0" w:color="BED7D3"/>
          <w:bottom w:val="dashed" w:sz="12" w:space="0" w:color="BED7D3"/>
          <w:right w:val="dashed" w:sz="12" w:space="0" w:color="BED7D3"/>
          <w:insideH w:val="dashed" w:sz="12" w:space="0" w:color="BED7D3"/>
          <w:insideV w:val="dashed" w:sz="12" w:space="0" w:color="BED7D3"/>
        </w:tblBorders>
        <w:tblLayout w:type="fixed"/>
        <w:tblLook w:val="0400" w:firstRow="0" w:lastRow="0" w:firstColumn="0" w:lastColumn="0" w:noHBand="0" w:noVBand="1"/>
      </w:tblPr>
      <w:tblGrid>
        <w:gridCol w:w="4665"/>
        <w:gridCol w:w="4665"/>
      </w:tblGrid>
      <w:tr w:rsidR="00AE667D" w14:paraId="35CCE6A6" w14:textId="77777777" w:rsidTr="00AE667D">
        <w:trPr>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466B161B" w14:textId="77777777" w:rsidR="00AE667D" w:rsidRDefault="00AE667D" w:rsidP="00AE667D">
            <w:pPr>
              <w:jc w:val="center"/>
              <w:rPr>
                <w:b/>
                <w:sz w:val="30"/>
                <w:szCs w:val="30"/>
              </w:rPr>
            </w:pPr>
            <w:r>
              <w:rPr>
                <w:b/>
                <w:sz w:val="30"/>
                <w:szCs w:val="30"/>
              </w:rPr>
              <w:lastRenderedPageBreak/>
              <w:t>Justify steps in generating equivalent expressions by combining like terms and using order of operations (to include grouping symbols). Identify the properties used, including the properties of operations (associative, commutative, and distributive).</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2E359CD5" w14:textId="69A039D6" w:rsidR="00AE667D" w:rsidRDefault="00AE667D" w:rsidP="00AE667D">
            <w:pPr>
              <w:jc w:val="center"/>
              <w:rPr>
                <w:b/>
                <w:sz w:val="30"/>
                <w:szCs w:val="30"/>
              </w:rPr>
            </w:pPr>
            <w:r>
              <w:rPr>
                <w:b/>
                <w:sz w:val="30"/>
                <w:szCs w:val="30"/>
              </w:rPr>
              <w:t>Identify, describe, and analyze linear relationships between two variables.</w:t>
            </w:r>
          </w:p>
        </w:tc>
      </w:tr>
      <w:tr w:rsidR="00AE667D" w14:paraId="5DE017DD" w14:textId="77777777" w:rsidTr="00AE667D">
        <w:trPr>
          <w:trHeight w:val="3600"/>
        </w:trPr>
        <w:tc>
          <w:tcPr>
            <w:tcW w:w="4665" w:type="dxa"/>
            <w:tcBorders>
              <w:top w:val="dashed" w:sz="12" w:space="0" w:color="288AC3" w:themeColor="accent1"/>
              <w:left w:val="dashed" w:sz="12" w:space="0" w:color="288AC3" w:themeColor="accent1"/>
              <w:right w:val="dashed" w:sz="12" w:space="0" w:color="288AC3" w:themeColor="accent1"/>
            </w:tcBorders>
            <w:vAlign w:val="center"/>
          </w:tcPr>
          <w:p w14:paraId="10B94A3F" w14:textId="77777777" w:rsidR="00AE667D" w:rsidRDefault="00AE667D" w:rsidP="00AE667D">
            <w:pPr>
              <w:pBdr>
                <w:top w:val="nil"/>
                <w:left w:val="nil"/>
                <w:bottom w:val="nil"/>
                <w:right w:val="nil"/>
                <w:between w:val="nil"/>
              </w:pBdr>
              <w:spacing w:after="0" w:line="240" w:lineRule="auto"/>
              <w:jc w:val="center"/>
              <w:rPr>
                <w:b/>
                <w:color w:val="000000"/>
                <w:sz w:val="30"/>
                <w:szCs w:val="30"/>
              </w:rPr>
            </w:pPr>
            <w:r>
              <w:rPr>
                <w:b/>
                <w:color w:val="000000"/>
                <w:sz w:val="30"/>
                <w:szCs w:val="30"/>
              </w:rPr>
              <w:t>Calculate the surface area of a cylinder, in terms of pi (𝜋) and using approximations for pi (𝜋), using decomposition or nets. Use appropriate units (e.g., cm</w:t>
            </w:r>
            <w:r>
              <w:rPr>
                <w:b/>
                <w:sz w:val="30"/>
                <w:szCs w:val="30"/>
                <w:vertAlign w:val="superscript"/>
              </w:rPr>
              <w:t>2</w:t>
            </w:r>
            <w:r>
              <w:rPr>
                <w:b/>
                <w:color w:val="000000"/>
                <w:sz w:val="30"/>
                <w:szCs w:val="30"/>
              </w:rPr>
              <w:t>).</w:t>
            </w:r>
          </w:p>
        </w:tc>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5C15DE67" w14:textId="69192055" w:rsidR="00AE667D" w:rsidRDefault="00AE667D" w:rsidP="00AE667D">
            <w:pPr>
              <w:pBdr>
                <w:top w:val="nil"/>
                <w:left w:val="nil"/>
                <w:bottom w:val="nil"/>
                <w:right w:val="nil"/>
                <w:between w:val="nil"/>
              </w:pBdr>
              <w:spacing w:after="0" w:line="240" w:lineRule="auto"/>
              <w:jc w:val="center"/>
              <w:rPr>
                <w:b/>
                <w:color w:val="000000"/>
                <w:sz w:val="30"/>
                <w:szCs w:val="30"/>
              </w:rPr>
            </w:pPr>
            <w:r>
              <w:rPr>
                <w:b/>
                <w:color w:val="000000"/>
                <w:sz w:val="30"/>
                <w:szCs w:val="30"/>
              </w:rPr>
              <w:t>Calculate the surface area of a rectangular prism using decomposition or nets. Use appropriate units (e.g. cm</w:t>
            </w:r>
            <w:r>
              <w:rPr>
                <w:b/>
                <w:sz w:val="30"/>
                <w:szCs w:val="30"/>
                <w:vertAlign w:val="superscript"/>
              </w:rPr>
              <w:t>2</w:t>
            </w:r>
            <w:r>
              <w:rPr>
                <w:b/>
                <w:color w:val="000000"/>
                <w:sz w:val="30"/>
                <w:szCs w:val="30"/>
              </w:rPr>
              <w:t>).</w:t>
            </w:r>
          </w:p>
        </w:tc>
      </w:tr>
      <w:tr w:rsidR="00AE667D" w14:paraId="1C56A63D" w14:textId="4E020390" w:rsidTr="00AE667D">
        <w:trPr>
          <w:gridAfter w:val="1"/>
          <w:wAfter w:w="4665" w:type="dxa"/>
          <w:trHeight w:val="3600"/>
        </w:trPr>
        <w:tc>
          <w:tcPr>
            <w:tcW w:w="4665" w:type="dxa"/>
            <w:tcBorders>
              <w:top w:val="dashed" w:sz="12" w:space="0" w:color="288AC3" w:themeColor="accent1"/>
              <w:left w:val="dashed" w:sz="12" w:space="0" w:color="288AC3" w:themeColor="accent1"/>
              <w:bottom w:val="dashed" w:sz="12" w:space="0" w:color="288AC3" w:themeColor="accent1"/>
              <w:right w:val="dashed" w:sz="12" w:space="0" w:color="288AC3" w:themeColor="accent1"/>
            </w:tcBorders>
            <w:vAlign w:val="center"/>
          </w:tcPr>
          <w:p w14:paraId="790051FF" w14:textId="77777777" w:rsidR="00AE667D" w:rsidRDefault="00AE667D" w:rsidP="00AE667D">
            <w:pPr>
              <w:pBdr>
                <w:top w:val="nil"/>
                <w:left w:val="nil"/>
                <w:bottom w:val="nil"/>
                <w:right w:val="nil"/>
                <w:between w:val="nil"/>
              </w:pBdr>
              <w:spacing w:after="0" w:line="240" w:lineRule="auto"/>
              <w:jc w:val="center"/>
              <w:rPr>
                <w:b/>
                <w:color w:val="000000"/>
                <w:sz w:val="30"/>
                <w:szCs w:val="30"/>
              </w:rPr>
            </w:pPr>
            <w:r>
              <w:rPr>
                <w:b/>
                <w:color w:val="000000"/>
                <w:sz w:val="30"/>
                <w:szCs w:val="30"/>
              </w:rPr>
              <w:t>Display, describe, and compare data sets using summary statistics (central tendency and spread (range)). Utilize technology (e.g., spreadsheets, calculators) to display data and calculate summary statistics.</w:t>
            </w:r>
          </w:p>
        </w:tc>
      </w:tr>
    </w:tbl>
    <w:p w14:paraId="43343CB7" w14:textId="62345DB6" w:rsidR="00AE667D" w:rsidRDefault="00AE667D" w:rsidP="00AE667D"/>
    <w:p w14:paraId="704DDF15" w14:textId="77777777" w:rsidR="001B5BA6" w:rsidRPr="00AE667D" w:rsidRDefault="001B5BA6" w:rsidP="00AE667D"/>
    <w:sectPr w:rsidR="001B5BA6" w:rsidRPr="00AE66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BCD5" w14:textId="77777777" w:rsidR="0045744F" w:rsidRDefault="0045744F" w:rsidP="00DC1CA0">
      <w:r>
        <w:separator/>
      </w:r>
    </w:p>
  </w:endnote>
  <w:endnote w:type="continuationSeparator" w:id="0">
    <w:p w14:paraId="42CE4C33" w14:textId="77777777" w:rsidR="0045744F" w:rsidRDefault="0045744F"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8BF5"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7F0A85B1" w14:textId="42AF929A" w:rsidR="009F0B2E" w:rsidRPr="008C5074" w:rsidRDefault="00AE667D" w:rsidP="008C5074">
                          <w:pPr>
                            <w:pStyle w:val="Footer"/>
                          </w:pPr>
                          <w:r>
                            <w:t>bridging minds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7F0A85B1" w14:textId="42AF929A" w:rsidR="009F0B2E" w:rsidRPr="008C5074" w:rsidRDefault="00AE667D" w:rsidP="008C5074">
                    <w:pPr>
                      <w:pStyle w:val="Footer"/>
                    </w:pPr>
                    <w:r>
                      <w:t>bridging minds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72B3" w14:textId="77777777" w:rsidR="0045744F" w:rsidRDefault="0045744F" w:rsidP="00DC1CA0">
      <w:r>
        <w:separator/>
      </w:r>
    </w:p>
  </w:footnote>
  <w:footnote w:type="continuationSeparator" w:id="0">
    <w:p w14:paraId="71DF00A9" w14:textId="77777777" w:rsidR="0045744F" w:rsidRDefault="0045744F"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7D"/>
    <w:rsid w:val="00072D23"/>
    <w:rsid w:val="000C7623"/>
    <w:rsid w:val="001B5BA6"/>
    <w:rsid w:val="001C5AFC"/>
    <w:rsid w:val="002040D8"/>
    <w:rsid w:val="00233158"/>
    <w:rsid w:val="00245200"/>
    <w:rsid w:val="00246BC1"/>
    <w:rsid w:val="00274BB5"/>
    <w:rsid w:val="002C4359"/>
    <w:rsid w:val="002D4C34"/>
    <w:rsid w:val="00304DC6"/>
    <w:rsid w:val="00403889"/>
    <w:rsid w:val="0045744F"/>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E667D"/>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AAA8"/>
  <w15:chartTrackingRefBased/>
  <w15:docId w15:val="{A5F800A9-D215-4783-98C8-4562D97A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E667D"/>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asciiTheme="minorHAnsi" w:eastAsia="Times New Roman" w:hAnsiTheme="minorHAnsi" w:cstheme="minorBidi"/>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spacing w:after="160" w:line="278" w:lineRule="auto"/>
      <w:outlineLvl w:val="1"/>
    </w:pPr>
    <w:rPr>
      <w:rFonts w:asciiTheme="minorHAnsi" w:eastAsiaTheme="minorHAnsi" w:hAnsiTheme="minorHAnsi" w:cstheme="minorBidi"/>
      <w:i/>
      <w:iCs/>
      <w:color w:val="971D20" w:themeColor="accent3"/>
      <w:kern w:val="2"/>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asciiTheme="minorHAnsi" w:eastAsiaTheme="minorHAnsi" w:hAnsiTheme="minorHAnsi" w:cstheme="minorBidi"/>
      <w:i/>
      <w:iCs/>
      <w:kern w:val="2"/>
      <w:sz w:val="18"/>
      <w:szCs w:val="18"/>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asciiTheme="minorHAnsi" w:eastAsiaTheme="minorHAnsi" w:hAnsiTheme="minorHAnsi" w:cstheme="minorBidi"/>
      <w:b/>
      <w:bCs/>
      <w:caps/>
      <w:kern w:val="2"/>
      <w:sz w:val="32"/>
      <w:szCs w:val="32"/>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rFonts w:asciiTheme="minorHAnsi" w:eastAsiaTheme="minorHAnsi" w:hAnsiTheme="minorHAnsi" w:cstheme="minorBidi"/>
      <w:b/>
      <w:bCs/>
      <w:caps/>
      <w:kern w:val="2"/>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spacing w:after="160" w:line="278" w:lineRule="auto"/>
      <w:ind w:left="720"/>
    </w:pPr>
    <w:rPr>
      <w:rFonts w:asciiTheme="minorHAnsi" w:eastAsiaTheme="minorHAnsi" w:hAnsiTheme="minorHAnsi" w:cstheme="minorBidi"/>
      <w:i/>
      <w:kern w:val="2"/>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AnswerKey">
    <w:name w:val="Answer Key"/>
    <w:basedOn w:val="Normal"/>
    <w:qFormat/>
    <w:rsid w:val="00E26CEB"/>
    <w:pPr>
      <w:spacing w:after="160" w:line="278" w:lineRule="auto"/>
    </w:pPr>
    <w:rPr>
      <w:rFonts w:asciiTheme="minorHAnsi" w:eastAsiaTheme="minorHAnsi" w:hAnsiTheme="minorHAnsi" w:cstheme="minorBidi"/>
      <w:color w:val="D30F7F" w:themeColor="accent5"/>
      <w:kern w:val="2"/>
      <w14:ligatures w14:val="standardContextual"/>
    </w:rPr>
  </w:style>
  <w:style w:type="paragraph" w:styleId="BodyText">
    <w:name w:val="Body Text"/>
    <w:basedOn w:val="Normal"/>
    <w:link w:val="BodyTextChar"/>
    <w:uiPriority w:val="99"/>
    <w:semiHidden/>
    <w:unhideWhenUsed/>
    <w:rsid w:val="00AE667D"/>
  </w:style>
  <w:style w:type="character" w:customStyle="1" w:styleId="BodyTextChar">
    <w:name w:val="Body Text Char"/>
    <w:basedOn w:val="DefaultParagraphFont"/>
    <w:link w:val="BodyText"/>
    <w:uiPriority w:val="99"/>
    <w:semiHidden/>
    <w:rsid w:val="00AE667D"/>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8</TotalTime>
  <Pages>3</Pages>
  <Words>416</Words>
  <Characters>2534</Characters>
  <Application>Microsoft Office Word</Application>
  <DocSecurity>0</DocSecurity>
  <Lines>101</Lines>
  <Paragraphs>19</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Bridging Minds</dc:title>
  <dc:subject/>
  <dc:creator>K20Center@groups.ou.edu</dc:creator>
  <cp:keywords/>
  <dc:description/>
  <cp:lastModifiedBy>Lieu, Mary</cp:lastModifiedBy>
  <cp:revision>1</cp:revision>
  <dcterms:created xsi:type="dcterms:W3CDTF">2026-04-02T19:45:00Z</dcterms:created>
  <dcterms:modified xsi:type="dcterms:W3CDTF">2026-04-02T19:53:00Z</dcterms:modified>
  <cp:category/>
</cp:coreProperties>
</file>