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03C0" w14:textId="77777777" w:rsidR="00E1727C" w:rsidRDefault="00E1727C" w:rsidP="00E1727C">
      <w:pPr>
        <w:pStyle w:val="Title"/>
      </w:pPr>
      <w:bookmarkStart w:id="0" w:name="_heading=h.gjdgxs" w:colFirst="0" w:colLast="0"/>
      <w:bookmarkEnd w:id="0"/>
      <w:r>
        <w:t>CARD SORT</w:t>
      </w:r>
    </w:p>
    <w:tbl>
      <w:tblPr>
        <w:tblW w:w="9330" w:type="dxa"/>
        <w:tblBorders>
          <w:top w:val="dashed" w:sz="12" w:space="0" w:color="BED7D3"/>
          <w:left w:val="dashed" w:sz="12" w:space="0" w:color="BED7D3"/>
          <w:bottom w:val="dashed" w:sz="12" w:space="0" w:color="BED7D3"/>
          <w:right w:val="dashed" w:sz="12" w:space="0" w:color="BED7D3"/>
          <w:insideH w:val="dashed" w:sz="12" w:space="0" w:color="BED7D3"/>
          <w:insideV w:val="dashed" w:sz="12" w:space="0" w:color="BED7D3"/>
        </w:tblBorders>
        <w:tblLayout w:type="fixed"/>
        <w:tblLook w:val="0400" w:firstRow="0" w:lastRow="0" w:firstColumn="0" w:lastColumn="0" w:noHBand="0" w:noVBand="1"/>
      </w:tblPr>
      <w:tblGrid>
        <w:gridCol w:w="4665"/>
        <w:gridCol w:w="4665"/>
      </w:tblGrid>
      <w:tr w:rsidR="00E1727C" w14:paraId="3E7357A0" w14:textId="77777777" w:rsidTr="00E1727C">
        <w:trPr>
          <w:trHeight w:val="3600"/>
        </w:trPr>
        <w:tc>
          <w:tcPr>
            <w:tcW w:w="9330" w:type="dxa"/>
            <w:gridSpan w:val="2"/>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0BEDD790" w14:textId="77777777" w:rsidR="00E1727C" w:rsidRDefault="00E1727C" w:rsidP="00E56BE7">
            <w:pPr>
              <w:rPr>
                <w:color w:val="000000"/>
                <w:sz w:val="32"/>
                <w:szCs w:val="32"/>
              </w:rPr>
            </w:pPr>
            <w:r>
              <w:rPr>
                <w:b/>
                <w:sz w:val="32"/>
                <w:szCs w:val="32"/>
                <w:u w:val="single"/>
              </w:rPr>
              <w:t>Card Sort instructions</w:t>
            </w:r>
            <w:r>
              <w:rPr>
                <w:sz w:val="32"/>
                <w:szCs w:val="32"/>
              </w:rPr>
              <w:t xml:space="preserve">: </w:t>
            </w:r>
            <w:r>
              <w:rPr>
                <w:color w:val="292929"/>
                <w:sz w:val="32"/>
                <w:szCs w:val="32"/>
              </w:rPr>
              <w:t>Match each Oklahoma Social Studies Academic Standard card with the card(s) that describe the necessary prior knowledge students would need before learning the skills outlined in the standard.</w:t>
            </w:r>
          </w:p>
        </w:tc>
      </w:tr>
      <w:tr w:rsidR="00E1727C" w14:paraId="2CAF4B56" w14:textId="77777777" w:rsidTr="00E1727C">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69F56452"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b/>
                <w:color w:val="000000"/>
                <w:sz w:val="28"/>
                <w:szCs w:val="28"/>
              </w:rPr>
              <w:t>Examine the central ideas expressed in the Declaration of Independence, drafted by Thomas Jefferson and adopted July 4, 1776, and their intellectual origins includin</w:t>
            </w:r>
            <w:r>
              <w:rPr>
                <w:b/>
                <w:sz w:val="28"/>
                <w:szCs w:val="28"/>
              </w:rPr>
              <w:t xml:space="preserve">g </w:t>
            </w:r>
            <w:r>
              <w:rPr>
                <w:b/>
                <w:color w:val="000000"/>
                <w:sz w:val="28"/>
                <w:szCs w:val="28"/>
              </w:rPr>
              <w:t>the purpose of government as a social contract requiring the consent of the governed.</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06169DC5"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b/>
                <w:color w:val="000000"/>
                <w:sz w:val="28"/>
                <w:szCs w:val="28"/>
              </w:rPr>
              <w:t>Summarize the political and economic consequences of the French and Indian War including imperial policies of taxation, the Proclamation of 1763, and the migration of colonists into American Indian sovereign territories.</w:t>
            </w:r>
          </w:p>
        </w:tc>
      </w:tr>
      <w:tr w:rsidR="00E1727C" w14:paraId="301E9597" w14:textId="77777777" w:rsidTr="00E1727C">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5BE9E1A1"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sz w:val="28"/>
                <w:szCs w:val="28"/>
              </w:rPr>
              <w:t>K</w:t>
            </w:r>
            <w:r>
              <w:rPr>
                <w:color w:val="000000"/>
                <w:sz w:val="28"/>
                <w:szCs w:val="28"/>
              </w:rPr>
              <w:t>nowledge of which</w:t>
            </w:r>
          </w:p>
          <w:p w14:paraId="3681D0F4"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color w:val="000000"/>
                <w:sz w:val="28"/>
                <w:szCs w:val="28"/>
              </w:rPr>
              <w:t xml:space="preserve">European powers colonized North America, including </w:t>
            </w:r>
            <w:r>
              <w:rPr>
                <w:sz w:val="28"/>
                <w:szCs w:val="28"/>
              </w:rPr>
              <w:t xml:space="preserve">knowledge of </w:t>
            </w:r>
            <w:r>
              <w:rPr>
                <w:color w:val="000000"/>
                <w:sz w:val="28"/>
                <w:szCs w:val="28"/>
              </w:rPr>
              <w:t>British, French, and Spanish</w:t>
            </w:r>
            <w:r>
              <w:rPr>
                <w:sz w:val="28"/>
                <w:szCs w:val="28"/>
              </w:rPr>
              <w:t xml:space="preserve"> colonization. </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2D39F6F6"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sz w:val="28"/>
                <w:szCs w:val="28"/>
              </w:rPr>
              <w:t>An understanding</w:t>
            </w:r>
            <w:r>
              <w:rPr>
                <w:color w:val="000000"/>
                <w:sz w:val="28"/>
                <w:szCs w:val="28"/>
              </w:rPr>
              <w:t xml:space="preserve"> of Enlightenment ideas that influenced colonial leaders, such as the writings of John Locke and his concepts</w:t>
            </w:r>
            <w:r>
              <w:rPr>
                <w:sz w:val="28"/>
                <w:szCs w:val="28"/>
              </w:rPr>
              <w:t xml:space="preserve"> </w:t>
            </w:r>
            <w:r>
              <w:rPr>
                <w:color w:val="000000"/>
                <w:sz w:val="28"/>
                <w:szCs w:val="28"/>
              </w:rPr>
              <w:t xml:space="preserve">of natural rights and </w:t>
            </w:r>
            <w:proofErr w:type="gramStart"/>
            <w:r>
              <w:rPr>
                <w:color w:val="000000"/>
                <w:sz w:val="28"/>
                <w:szCs w:val="28"/>
              </w:rPr>
              <w:t>the social</w:t>
            </w:r>
            <w:proofErr w:type="gramEnd"/>
            <w:r>
              <w:rPr>
                <w:color w:val="000000"/>
                <w:sz w:val="28"/>
                <w:szCs w:val="28"/>
              </w:rPr>
              <w:t xml:space="preserve"> contract.</w:t>
            </w:r>
          </w:p>
          <w:p w14:paraId="23C3F870" w14:textId="77777777" w:rsidR="00E1727C" w:rsidRDefault="00E1727C" w:rsidP="00E56BE7">
            <w:pPr>
              <w:pBdr>
                <w:top w:val="nil"/>
                <w:left w:val="nil"/>
                <w:bottom w:val="nil"/>
                <w:right w:val="nil"/>
                <w:between w:val="nil"/>
              </w:pBdr>
              <w:spacing w:after="0" w:line="240" w:lineRule="auto"/>
              <w:ind w:left="360"/>
              <w:jc w:val="center"/>
              <w:rPr>
                <w:color w:val="000000"/>
                <w:sz w:val="28"/>
                <w:szCs w:val="28"/>
              </w:rPr>
            </w:pPr>
          </w:p>
        </w:tc>
      </w:tr>
    </w:tbl>
    <w:p w14:paraId="205D7E7A" w14:textId="77777777" w:rsidR="00E1727C" w:rsidRDefault="00E1727C" w:rsidP="00E1727C">
      <w:pPr>
        <w:jc w:val="center"/>
        <w:rPr>
          <w:sz w:val="28"/>
          <w:szCs w:val="28"/>
        </w:rPr>
      </w:pPr>
    </w:p>
    <w:p w14:paraId="3DC9BFC6" w14:textId="77777777" w:rsidR="00E1727C" w:rsidRDefault="00E1727C" w:rsidP="00E1727C">
      <w:pPr>
        <w:pStyle w:val="Title"/>
        <w:jc w:val="center"/>
        <w:rPr>
          <w:sz w:val="28"/>
          <w:szCs w:val="28"/>
        </w:rPr>
      </w:pPr>
    </w:p>
    <w:tbl>
      <w:tblPr>
        <w:tblW w:w="9330" w:type="dxa"/>
        <w:tblBorders>
          <w:top w:val="dashed" w:sz="12" w:space="0" w:color="BED7D3"/>
          <w:left w:val="dashed" w:sz="12" w:space="0" w:color="BED7D3"/>
          <w:bottom w:val="dashed" w:sz="12" w:space="0" w:color="BED7D3"/>
          <w:right w:val="dashed" w:sz="12" w:space="0" w:color="BED7D3"/>
          <w:insideH w:val="dashed" w:sz="12" w:space="0" w:color="BED7D3"/>
          <w:insideV w:val="dashed" w:sz="12" w:space="0" w:color="BED7D3"/>
        </w:tblBorders>
        <w:tblLayout w:type="fixed"/>
        <w:tblLook w:val="0400" w:firstRow="0" w:lastRow="0" w:firstColumn="0" w:lastColumn="0" w:noHBand="0" w:noVBand="1"/>
      </w:tblPr>
      <w:tblGrid>
        <w:gridCol w:w="4665"/>
        <w:gridCol w:w="4665"/>
      </w:tblGrid>
      <w:tr w:rsidR="00E1727C" w14:paraId="6B74E4A0" w14:textId="77777777" w:rsidTr="00E1727C">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7FCEE445" w14:textId="77777777" w:rsidR="00E1727C" w:rsidRDefault="00E1727C" w:rsidP="00E56BE7">
            <w:pPr>
              <w:jc w:val="center"/>
              <w:rPr>
                <w:sz w:val="28"/>
                <w:szCs w:val="28"/>
              </w:rPr>
            </w:pPr>
            <w:r>
              <w:rPr>
                <w:sz w:val="28"/>
                <w:szCs w:val="28"/>
              </w:rPr>
              <w:lastRenderedPageBreak/>
              <w:t>An understanding of why taxes are necessary, including knowledge of how they fund public services such as education, infrastructure, and national defense.</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3F182700" w14:textId="77777777" w:rsidR="00E1727C" w:rsidRDefault="00E1727C" w:rsidP="00E56BE7">
            <w:pPr>
              <w:jc w:val="center"/>
              <w:rPr>
                <w:sz w:val="28"/>
                <w:szCs w:val="28"/>
              </w:rPr>
            </w:pPr>
            <w:r>
              <w:rPr>
                <w:b/>
                <w:sz w:val="28"/>
                <w:szCs w:val="28"/>
              </w:rPr>
              <w:t>Describe the responsibilities of US citizens such as:</w:t>
            </w:r>
          </w:p>
          <w:p w14:paraId="1C9CEF43" w14:textId="77777777" w:rsidR="00E1727C" w:rsidRDefault="00E1727C" w:rsidP="00E56BE7">
            <w:pPr>
              <w:rPr>
                <w:sz w:val="28"/>
                <w:szCs w:val="28"/>
              </w:rPr>
            </w:pPr>
            <w:r>
              <w:rPr>
                <w:b/>
                <w:sz w:val="28"/>
                <w:szCs w:val="28"/>
              </w:rPr>
              <w:t>A. registering and voting in public elections</w:t>
            </w:r>
          </w:p>
          <w:p w14:paraId="4B93A306" w14:textId="77777777" w:rsidR="00E1727C" w:rsidRDefault="00E1727C" w:rsidP="00E56BE7">
            <w:pPr>
              <w:rPr>
                <w:sz w:val="28"/>
                <w:szCs w:val="28"/>
              </w:rPr>
            </w:pPr>
            <w:r>
              <w:rPr>
                <w:b/>
                <w:sz w:val="28"/>
                <w:szCs w:val="28"/>
              </w:rPr>
              <w:t>B. engaging in informed civil discourse</w:t>
            </w:r>
          </w:p>
          <w:p w14:paraId="79E1F42B" w14:textId="77777777" w:rsidR="00E1727C" w:rsidRDefault="00E1727C" w:rsidP="00E56BE7">
            <w:pPr>
              <w:rPr>
                <w:sz w:val="28"/>
                <w:szCs w:val="28"/>
              </w:rPr>
            </w:pPr>
            <w:r>
              <w:rPr>
                <w:b/>
                <w:sz w:val="28"/>
                <w:szCs w:val="28"/>
              </w:rPr>
              <w:t xml:space="preserve">C. </w:t>
            </w:r>
            <w:proofErr w:type="gramStart"/>
            <w:r>
              <w:rPr>
                <w:b/>
                <w:sz w:val="28"/>
                <w:szCs w:val="28"/>
              </w:rPr>
              <w:t>serving on</w:t>
            </w:r>
            <w:proofErr w:type="gramEnd"/>
            <w:r>
              <w:rPr>
                <w:b/>
                <w:sz w:val="28"/>
                <w:szCs w:val="28"/>
              </w:rPr>
              <w:t xml:space="preserve"> a jury</w:t>
            </w:r>
          </w:p>
          <w:p w14:paraId="6C611166" w14:textId="77777777" w:rsidR="00E1727C" w:rsidRDefault="00E1727C" w:rsidP="00E56BE7">
            <w:pPr>
              <w:rPr>
                <w:sz w:val="28"/>
                <w:szCs w:val="28"/>
              </w:rPr>
            </w:pPr>
            <w:r>
              <w:rPr>
                <w:b/>
                <w:sz w:val="28"/>
                <w:szCs w:val="28"/>
              </w:rPr>
              <w:t>D. paying taxes</w:t>
            </w:r>
          </w:p>
          <w:p w14:paraId="62E578F4" w14:textId="77777777" w:rsidR="00E1727C" w:rsidRDefault="00E1727C" w:rsidP="00E56BE7">
            <w:pPr>
              <w:rPr>
                <w:sz w:val="28"/>
                <w:szCs w:val="28"/>
              </w:rPr>
            </w:pPr>
            <w:r>
              <w:rPr>
                <w:b/>
                <w:sz w:val="28"/>
                <w:szCs w:val="28"/>
              </w:rPr>
              <w:t>E. obeying laws</w:t>
            </w:r>
          </w:p>
          <w:p w14:paraId="185E0F12" w14:textId="77777777" w:rsidR="00E1727C" w:rsidRDefault="00E1727C" w:rsidP="00E56BE7">
            <w:pPr>
              <w:rPr>
                <w:sz w:val="28"/>
                <w:szCs w:val="28"/>
              </w:rPr>
            </w:pPr>
            <w:r>
              <w:rPr>
                <w:b/>
                <w:sz w:val="28"/>
                <w:szCs w:val="28"/>
              </w:rPr>
              <w:t>F. registering for military service</w:t>
            </w:r>
          </w:p>
        </w:tc>
      </w:tr>
      <w:tr w:rsidR="00E1727C" w14:paraId="4684080D" w14:textId="77777777" w:rsidTr="00E1727C">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7E73CC13"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b/>
                <w:color w:val="000000"/>
                <w:sz w:val="28"/>
                <w:szCs w:val="28"/>
                <w:highlight w:val="white"/>
              </w:rPr>
              <w:t xml:space="preserve">Describe the advice in </w:t>
            </w:r>
            <w:r>
              <w:rPr>
                <w:b/>
                <w:i/>
                <w:color w:val="000000"/>
                <w:sz w:val="28"/>
                <w:szCs w:val="28"/>
                <w:highlight w:val="white"/>
              </w:rPr>
              <w:t>President Washington’s Farewell Address</w:t>
            </w:r>
            <w:r>
              <w:rPr>
                <w:b/>
                <w:color w:val="000000"/>
                <w:sz w:val="28"/>
                <w:szCs w:val="28"/>
                <w:highlight w:val="white"/>
              </w:rPr>
              <w:t xml:space="preserve"> and its impact.</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3B690225"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sz w:val="28"/>
                <w:szCs w:val="28"/>
              </w:rPr>
              <w:t>An understanding of</w:t>
            </w:r>
            <w:r>
              <w:rPr>
                <w:color w:val="000000"/>
                <w:sz w:val="28"/>
                <w:szCs w:val="28"/>
              </w:rPr>
              <w:t xml:space="preserve"> the development of the first political parties in the United States, the Federalists and the Democratic-Republicans, and their differing views.</w:t>
            </w:r>
          </w:p>
        </w:tc>
      </w:tr>
      <w:tr w:rsidR="00E1727C" w14:paraId="1920F927" w14:textId="77777777" w:rsidTr="00E1727C">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5235C6EB"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b/>
                <w:color w:val="000000"/>
                <w:sz w:val="28"/>
                <w:szCs w:val="28"/>
              </w:rPr>
              <w:t>Summarize the impact of the Missouri Compromise on the expansion of slavery into new western territories.</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741D0A4C"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color w:val="000000"/>
                <w:sz w:val="28"/>
                <w:szCs w:val="28"/>
              </w:rPr>
              <w:t>Knowledge of the Northwest Ordinance, which prohibited slavery in the Northwest Territory</w:t>
            </w:r>
            <w:r>
              <w:rPr>
                <w:sz w:val="28"/>
                <w:szCs w:val="28"/>
              </w:rPr>
              <w:t xml:space="preserve"> and set</w:t>
            </w:r>
            <w:r>
              <w:rPr>
                <w:color w:val="000000"/>
                <w:sz w:val="28"/>
                <w:szCs w:val="28"/>
              </w:rPr>
              <w:t xml:space="preserve"> a precedent for the regulation of slavery in new territories.</w:t>
            </w:r>
          </w:p>
        </w:tc>
      </w:tr>
    </w:tbl>
    <w:p w14:paraId="2103043E" w14:textId="77777777" w:rsidR="00E1727C" w:rsidRDefault="00E1727C" w:rsidP="00E1727C">
      <w:pPr>
        <w:jc w:val="center"/>
        <w:rPr>
          <w:sz w:val="28"/>
          <w:szCs w:val="28"/>
        </w:rPr>
      </w:pPr>
    </w:p>
    <w:p w14:paraId="0BC68569" w14:textId="77777777" w:rsidR="00E1727C" w:rsidRDefault="00E1727C" w:rsidP="00E1727C">
      <w:pPr>
        <w:pStyle w:val="Title"/>
        <w:jc w:val="center"/>
        <w:rPr>
          <w:sz w:val="28"/>
          <w:szCs w:val="28"/>
        </w:rPr>
      </w:pPr>
    </w:p>
    <w:tbl>
      <w:tblPr>
        <w:tblW w:w="9330" w:type="dxa"/>
        <w:tblBorders>
          <w:top w:val="dashed" w:sz="12" w:space="0" w:color="BED7D3"/>
          <w:left w:val="dashed" w:sz="12" w:space="0" w:color="BED7D3"/>
          <w:bottom w:val="dashed" w:sz="12" w:space="0" w:color="BED7D3"/>
          <w:right w:val="dashed" w:sz="12" w:space="0" w:color="BED7D3"/>
          <w:insideH w:val="dashed" w:sz="12" w:space="0" w:color="BED7D3"/>
          <w:insideV w:val="dashed" w:sz="12" w:space="0" w:color="BED7D3"/>
        </w:tblBorders>
        <w:tblLayout w:type="fixed"/>
        <w:tblLook w:val="0400" w:firstRow="0" w:lastRow="0" w:firstColumn="0" w:lastColumn="0" w:noHBand="0" w:noVBand="1"/>
      </w:tblPr>
      <w:tblGrid>
        <w:gridCol w:w="4665"/>
        <w:gridCol w:w="4665"/>
      </w:tblGrid>
      <w:tr w:rsidR="00E1727C" w14:paraId="66529A1D" w14:textId="77777777" w:rsidTr="00E1727C">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59F8BA2D" w14:textId="77777777" w:rsidR="00E1727C" w:rsidRDefault="00E1727C" w:rsidP="00E56BE7">
            <w:pPr>
              <w:ind w:left="360"/>
              <w:jc w:val="center"/>
              <w:rPr>
                <w:sz w:val="28"/>
                <w:szCs w:val="28"/>
              </w:rPr>
            </w:pPr>
            <w:r>
              <w:rPr>
                <w:b/>
                <w:sz w:val="28"/>
                <w:szCs w:val="28"/>
              </w:rPr>
              <w:lastRenderedPageBreak/>
              <w:t>Identify push and pull factors of mass migration and the settlement of western territories including the California Gold Rush, settlement of Oregon, and the Mormon migration.</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360B308E" w14:textId="77777777" w:rsidR="00E1727C" w:rsidRDefault="00E1727C" w:rsidP="00E56BE7">
            <w:pPr>
              <w:jc w:val="center"/>
              <w:rPr>
                <w:sz w:val="28"/>
                <w:szCs w:val="28"/>
              </w:rPr>
            </w:pPr>
            <w:r>
              <w:rPr>
                <w:sz w:val="28"/>
                <w:szCs w:val="28"/>
              </w:rPr>
              <w:t xml:space="preserve">An understanding of the causes and outcomes of the </w:t>
            </w:r>
            <w:proofErr w:type="gramStart"/>
            <w:r>
              <w:rPr>
                <w:sz w:val="28"/>
                <w:szCs w:val="28"/>
              </w:rPr>
              <w:t>Mexican-American</w:t>
            </w:r>
            <w:proofErr w:type="gramEnd"/>
            <w:r>
              <w:rPr>
                <w:sz w:val="28"/>
                <w:szCs w:val="28"/>
              </w:rPr>
              <w:t xml:space="preserve"> War and knowledge of the Treaty of Guadalupe Hidalgo.</w:t>
            </w:r>
          </w:p>
        </w:tc>
      </w:tr>
      <w:tr w:rsidR="00E1727C" w14:paraId="4ED29240" w14:textId="77777777" w:rsidTr="00E1727C">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09EF4545" w14:textId="77777777" w:rsidR="00E1727C" w:rsidRDefault="00E1727C" w:rsidP="00E56BE7">
            <w:pPr>
              <w:pBdr>
                <w:top w:val="nil"/>
                <w:left w:val="nil"/>
                <w:bottom w:val="nil"/>
                <w:right w:val="nil"/>
                <w:between w:val="nil"/>
              </w:pBdr>
              <w:spacing w:after="0" w:line="240" w:lineRule="auto"/>
              <w:ind w:left="360"/>
              <w:jc w:val="center"/>
              <w:rPr>
                <w:color w:val="000000"/>
                <w:sz w:val="28"/>
                <w:szCs w:val="28"/>
              </w:rPr>
            </w:pPr>
            <w:r>
              <w:rPr>
                <w:b/>
                <w:color w:val="000000"/>
                <w:sz w:val="28"/>
                <w:szCs w:val="28"/>
              </w:rPr>
              <w:t>Compare the major plans and policies proposed for Reconstruction.</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3B412FC6"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sz w:val="28"/>
                <w:szCs w:val="28"/>
              </w:rPr>
              <w:t xml:space="preserve">An understanding of </w:t>
            </w:r>
            <w:r>
              <w:rPr>
                <w:color w:val="000000"/>
                <w:sz w:val="28"/>
                <w:szCs w:val="28"/>
              </w:rPr>
              <w:t>the role of slavery and the economic, social, and political differences between the North and the South.</w:t>
            </w:r>
          </w:p>
        </w:tc>
      </w:tr>
      <w:tr w:rsidR="00E1727C" w14:paraId="6F13DDF4" w14:textId="77777777" w:rsidTr="00E1727C">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7F417A7C"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b/>
                <w:color w:val="000000"/>
                <w:sz w:val="28"/>
                <w:szCs w:val="28"/>
              </w:rPr>
              <w:t>Identify the ideals, significance, and key leaders of the Second Great Awakening and the Women’s Suffrage Movement, including the Declaration of Sentiments and the leadership of Susan B. Anthony, Elizabeth Cady Stanton, and Sojourner Truth.</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0E04F411" w14:textId="77777777" w:rsidR="00E1727C" w:rsidRDefault="00E1727C" w:rsidP="00E56BE7">
            <w:pPr>
              <w:pBdr>
                <w:top w:val="nil"/>
                <w:left w:val="nil"/>
                <w:bottom w:val="nil"/>
                <w:right w:val="nil"/>
                <w:between w:val="nil"/>
              </w:pBdr>
              <w:spacing w:after="0" w:line="240" w:lineRule="auto"/>
              <w:jc w:val="center"/>
              <w:rPr>
                <w:color w:val="000000"/>
                <w:sz w:val="28"/>
                <w:szCs w:val="28"/>
              </w:rPr>
            </w:pPr>
            <w:r>
              <w:rPr>
                <w:sz w:val="28"/>
                <w:szCs w:val="28"/>
              </w:rPr>
              <w:t>An understanding of</w:t>
            </w:r>
            <w:r>
              <w:rPr>
                <w:color w:val="000000"/>
                <w:sz w:val="28"/>
                <w:szCs w:val="28"/>
              </w:rPr>
              <w:t xml:space="preserve"> the principles of liberty and equality as outlined in the Declaration of Independence and the U.S. Constitution, and how these principles often excluded women and other marginalized groups.</w:t>
            </w:r>
          </w:p>
        </w:tc>
      </w:tr>
    </w:tbl>
    <w:p w14:paraId="6836D92B" w14:textId="77777777" w:rsidR="00E1727C" w:rsidRDefault="00E1727C" w:rsidP="00E1727C"/>
    <w:p w14:paraId="2483DF62" w14:textId="77777777" w:rsidR="001B5BA6" w:rsidRPr="00E1727C" w:rsidRDefault="001B5BA6" w:rsidP="00E1727C"/>
    <w:sectPr w:rsidR="001B5BA6" w:rsidRPr="00E172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6B76" w14:textId="77777777" w:rsidR="00F74AD1" w:rsidRDefault="00F74AD1" w:rsidP="00DC1CA0">
      <w:r>
        <w:separator/>
      </w:r>
    </w:p>
  </w:endnote>
  <w:endnote w:type="continuationSeparator" w:id="0">
    <w:p w14:paraId="1FB42158" w14:textId="77777777" w:rsidR="00F74AD1" w:rsidRDefault="00F74AD1"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8FD1"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3D1D3A27" w14:textId="49EFAFAE" w:rsidR="009F0B2E" w:rsidRPr="008C5074" w:rsidRDefault="00E1727C" w:rsidP="008C5074">
                          <w:pPr>
                            <w:pStyle w:val="Footer"/>
                          </w:pPr>
                          <w:r>
                            <w:t>BRIDGING MINDS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3D1D3A27" w14:textId="49EFAFAE" w:rsidR="009F0B2E" w:rsidRPr="008C5074" w:rsidRDefault="00E1727C" w:rsidP="008C5074">
                    <w:pPr>
                      <w:pStyle w:val="Footer"/>
                    </w:pPr>
                    <w:r>
                      <w:t>BRIDGING MINDS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2679" w14:textId="77777777" w:rsidR="00F74AD1" w:rsidRDefault="00F74AD1" w:rsidP="00DC1CA0">
      <w:r>
        <w:separator/>
      </w:r>
    </w:p>
  </w:footnote>
  <w:footnote w:type="continuationSeparator" w:id="0">
    <w:p w14:paraId="61759679" w14:textId="77777777" w:rsidR="00F74AD1" w:rsidRDefault="00F74AD1"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7C"/>
    <w:rsid w:val="00072D23"/>
    <w:rsid w:val="000C7623"/>
    <w:rsid w:val="001B5BA6"/>
    <w:rsid w:val="001C5AFC"/>
    <w:rsid w:val="002040D8"/>
    <w:rsid w:val="00233158"/>
    <w:rsid w:val="00245200"/>
    <w:rsid w:val="00246BC1"/>
    <w:rsid w:val="00274BB5"/>
    <w:rsid w:val="002C4359"/>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1727C"/>
    <w:rsid w:val="00E26CEB"/>
    <w:rsid w:val="00E326C3"/>
    <w:rsid w:val="00E45663"/>
    <w:rsid w:val="00E46C11"/>
    <w:rsid w:val="00E76FF3"/>
    <w:rsid w:val="00EA2AF9"/>
    <w:rsid w:val="00EB6E7A"/>
    <w:rsid w:val="00F10244"/>
    <w:rsid w:val="00F74AD1"/>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CD515"/>
  <w15:chartTrackingRefBased/>
  <w15:docId w15:val="{A4555A69-698F-473F-BB37-E793671F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E1727C"/>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asciiTheme="minorHAnsi" w:eastAsia="Times New Roman" w:hAnsiTheme="minorHAnsi" w:cstheme="minorBidi"/>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rFonts w:asciiTheme="minorHAnsi" w:eastAsiaTheme="minorHAnsi" w:hAnsiTheme="minorHAnsi" w:cstheme="minorBidi"/>
      <w:i/>
      <w:iCs/>
      <w:color w:val="971D20" w:themeColor="accent3"/>
      <w:kern w:val="2"/>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rFonts w:asciiTheme="minorHAnsi" w:eastAsiaTheme="minorHAnsi" w:hAnsiTheme="minorHAnsi" w:cstheme="minorBidi"/>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rFonts w:asciiTheme="minorHAnsi" w:eastAsiaTheme="minorHAnsi" w:hAnsiTheme="minorHAnsi" w:cstheme="minorBidi"/>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rFonts w:asciiTheme="minorHAnsi" w:eastAsiaTheme="minorHAnsi" w:hAnsiTheme="minorHAnsi" w:cstheme="minorBidi"/>
      <w:b/>
      <w:bCs/>
      <w:caps/>
      <w:kern w:val="2"/>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spacing w:after="160" w:line="278" w:lineRule="auto"/>
      <w:ind w:left="720"/>
    </w:pPr>
    <w:rPr>
      <w:rFonts w:asciiTheme="minorHAnsi" w:eastAsiaTheme="minorHAnsi" w:hAnsiTheme="minorHAnsi" w:cstheme="minorBidi"/>
      <w:i/>
      <w:kern w:val="2"/>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AnswerKey">
    <w:name w:val="Answer Key"/>
    <w:basedOn w:val="Normal"/>
    <w:qFormat/>
    <w:rsid w:val="00E26CEB"/>
    <w:pPr>
      <w:spacing w:after="160" w:line="278" w:lineRule="auto"/>
    </w:pPr>
    <w:rPr>
      <w:rFonts w:asciiTheme="minorHAnsi" w:eastAsiaTheme="minorHAnsi" w:hAnsiTheme="minorHAnsi" w:cstheme="minorBidi"/>
      <w:color w:val="D30F7F" w:themeColor="accent5"/>
      <w:kern w:val="2"/>
      <w14:ligatures w14:val="standardContextual"/>
    </w:rPr>
  </w:style>
  <w:style w:type="paragraph" w:styleId="BodyText">
    <w:name w:val="Body Text"/>
    <w:basedOn w:val="Normal"/>
    <w:link w:val="BodyTextChar"/>
    <w:uiPriority w:val="99"/>
    <w:semiHidden/>
    <w:unhideWhenUsed/>
    <w:rsid w:val="00E1727C"/>
  </w:style>
  <w:style w:type="character" w:customStyle="1" w:styleId="BodyTextChar">
    <w:name w:val="Body Text Char"/>
    <w:basedOn w:val="DefaultParagraphFont"/>
    <w:link w:val="BodyText"/>
    <w:uiPriority w:val="99"/>
    <w:semiHidden/>
    <w:rsid w:val="00E1727C"/>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3</TotalTime>
  <Pages>3</Pages>
  <Words>457</Words>
  <Characters>2387</Characters>
  <Application>Microsoft Office Word</Application>
  <DocSecurity>0</DocSecurity>
  <Lines>85</Lines>
  <Paragraphs>41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Bridging Minds</dc:title>
  <dc:subject/>
  <dc:creator>K20Center@groups.ou.edu</dc:creator>
  <cp:keywords/>
  <dc:description/>
  <cp:lastModifiedBy>Lieu, Mary</cp:lastModifiedBy>
  <cp:revision>1</cp:revision>
  <dcterms:created xsi:type="dcterms:W3CDTF">2026-04-02T19:41:00Z</dcterms:created>
  <dcterms:modified xsi:type="dcterms:W3CDTF">2026-04-02T19:44:00Z</dcterms:modified>
  <cp:category/>
</cp:coreProperties>
</file>