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DECE" w14:textId="77777777" w:rsidR="00914BA7" w:rsidRDefault="00914BA7" w:rsidP="00914BA7">
      <w:pPr>
        <w:jc w:val="center"/>
        <w:rPr>
          <w:rFonts w:ascii="Calibri" w:eastAsia="Calibri" w:hAnsi="Calibri" w:cs="Calibri"/>
          <w:b/>
          <w:color w:val="980000"/>
          <w:sz w:val="30"/>
          <w:szCs w:val="30"/>
        </w:rPr>
      </w:pPr>
      <w:r>
        <w:rPr>
          <w:rFonts w:ascii="Calibri" w:eastAsia="Calibri" w:hAnsi="Calibri" w:cs="Calibri"/>
          <w:b/>
          <w:sz w:val="32"/>
          <w:szCs w:val="32"/>
        </w:rPr>
        <w:t xml:space="preserve">TINKER V. DES MOINES </w:t>
      </w:r>
      <w:r>
        <w:rPr>
          <w:rFonts w:ascii="Calibri" w:eastAsia="Calibri" w:hAnsi="Calibri" w:cs="Calibri"/>
          <w:b/>
          <w:color w:val="980000"/>
          <w:sz w:val="30"/>
          <w:szCs w:val="30"/>
        </w:rPr>
        <w:br/>
      </w:r>
    </w:p>
    <w:p w14:paraId="35E555FC" w14:textId="77777777" w:rsidR="00914BA7" w:rsidRPr="00EF2D88" w:rsidRDefault="00914BA7" w:rsidP="00914BA7">
      <w:pPr>
        <w:rPr>
          <w:rFonts w:ascii="Calibri" w:eastAsia="Calibri" w:hAnsi="Calibri" w:cs="Calibri"/>
          <w:b/>
          <w:color w:val="910D28"/>
          <w:sz w:val="24"/>
          <w:szCs w:val="24"/>
        </w:rPr>
      </w:pPr>
      <w:r w:rsidRPr="00EF2D88">
        <w:rPr>
          <w:rFonts w:ascii="Calibri" w:eastAsia="Calibri" w:hAnsi="Calibri" w:cs="Calibri"/>
          <w:b/>
          <w:color w:val="910D28"/>
          <w:sz w:val="24"/>
          <w:szCs w:val="24"/>
        </w:rPr>
        <w:t xml:space="preserve">Background of the Case: </w:t>
      </w:r>
    </w:p>
    <w:p w14:paraId="3A207386" w14:textId="77777777" w:rsidR="00914BA7" w:rsidRDefault="00914BA7" w:rsidP="00914BA7">
      <w:pPr>
        <w:rPr>
          <w:rFonts w:ascii="Calibri" w:eastAsia="Calibri" w:hAnsi="Calibri" w:cs="Calibri"/>
          <w:sz w:val="24"/>
          <w:szCs w:val="24"/>
        </w:rPr>
      </w:pPr>
    </w:p>
    <w:p w14:paraId="09FCA064" w14:textId="77777777" w:rsidR="00914BA7" w:rsidRPr="00EF2D88" w:rsidRDefault="00914BA7" w:rsidP="00914BA7">
      <w:pPr>
        <w:rPr>
          <w:rFonts w:ascii="Calibri" w:eastAsia="Calibri" w:hAnsi="Calibri" w:cs="Calibri"/>
          <w:sz w:val="24"/>
          <w:szCs w:val="24"/>
        </w:rPr>
      </w:pPr>
      <w:r w:rsidRPr="00EF2D88">
        <w:rPr>
          <w:rFonts w:ascii="Calibri" w:eastAsia="Calibri" w:hAnsi="Calibri" w:cs="Calibri"/>
          <w:sz w:val="24"/>
          <w:szCs w:val="24"/>
        </w:rPr>
        <w:t xml:space="preserve">In 1965, the Vietnam War continued to intensify, and hundreds of soldiers had been killed in action, and </w:t>
      </w:r>
      <w:proofErr w:type="gramStart"/>
      <w:r w:rsidRPr="00EF2D88">
        <w:rPr>
          <w:rFonts w:ascii="Calibri" w:eastAsia="Calibri" w:hAnsi="Calibri" w:cs="Calibri"/>
          <w:sz w:val="24"/>
          <w:szCs w:val="24"/>
        </w:rPr>
        <w:t>thousands</w:t>
      </w:r>
      <w:proofErr w:type="gramEnd"/>
      <w:r w:rsidRPr="00EF2D88">
        <w:rPr>
          <w:rFonts w:ascii="Calibri" w:eastAsia="Calibri" w:hAnsi="Calibri" w:cs="Calibri"/>
          <w:sz w:val="24"/>
          <w:szCs w:val="24"/>
        </w:rPr>
        <w:t xml:space="preserve"> others were wounded or missing. As the war continued, many Americans protested American involvement. Public demonstrations against the war became </w:t>
      </w:r>
      <w:proofErr w:type="gramStart"/>
      <w:r w:rsidRPr="00EF2D88">
        <w:rPr>
          <w:rFonts w:ascii="Calibri" w:eastAsia="Calibri" w:hAnsi="Calibri" w:cs="Calibri"/>
          <w:sz w:val="24"/>
          <w:szCs w:val="24"/>
        </w:rPr>
        <w:t>more and more</w:t>
      </w:r>
      <w:proofErr w:type="gramEnd"/>
      <w:r w:rsidRPr="00EF2D88">
        <w:rPr>
          <w:rFonts w:ascii="Calibri" w:eastAsia="Calibri" w:hAnsi="Calibri" w:cs="Calibri"/>
          <w:sz w:val="24"/>
          <w:szCs w:val="24"/>
        </w:rPr>
        <w:t xml:space="preserve"> popular around universities and school settings across the country. Like many other students, John Tinker, </w:t>
      </w:r>
      <w:proofErr w:type="gramStart"/>
      <w:r w:rsidRPr="00EF2D88">
        <w:rPr>
          <w:rFonts w:ascii="Calibri" w:eastAsia="Calibri" w:hAnsi="Calibri" w:cs="Calibri"/>
          <w:sz w:val="24"/>
          <w:szCs w:val="24"/>
        </w:rPr>
        <w:t>age</w:t>
      </w:r>
      <w:proofErr w:type="gramEnd"/>
      <w:r w:rsidRPr="00EF2D88">
        <w:rPr>
          <w:rFonts w:ascii="Calibri" w:eastAsia="Calibri" w:hAnsi="Calibri" w:cs="Calibri"/>
          <w:sz w:val="24"/>
          <w:szCs w:val="24"/>
        </w:rPr>
        <w:t xml:space="preserve"> 15, and his sister, Mary Beth Tinker, age 13, from Des Moines</w:t>
      </w:r>
      <w:r>
        <w:rPr>
          <w:rFonts w:ascii="Calibri" w:eastAsia="Calibri" w:hAnsi="Calibri" w:cs="Calibri"/>
          <w:sz w:val="24"/>
          <w:szCs w:val="24"/>
        </w:rPr>
        <w:t>,</w:t>
      </w:r>
      <w:r w:rsidRPr="00EF2D88">
        <w:rPr>
          <w:rFonts w:ascii="Calibri" w:eastAsia="Calibri" w:hAnsi="Calibri" w:cs="Calibri"/>
          <w:sz w:val="24"/>
          <w:szCs w:val="24"/>
        </w:rPr>
        <w:t xml:space="preserve"> Iowa, decided they, too, wanted to </w:t>
      </w:r>
      <w:proofErr w:type="gramStart"/>
      <w:r w:rsidRPr="00EF2D88">
        <w:rPr>
          <w:rFonts w:ascii="Calibri" w:eastAsia="Calibri" w:hAnsi="Calibri" w:cs="Calibri"/>
          <w:sz w:val="24"/>
          <w:szCs w:val="24"/>
        </w:rPr>
        <w:t>protest against</w:t>
      </w:r>
      <w:proofErr w:type="gramEnd"/>
      <w:r w:rsidRPr="00EF2D88">
        <w:rPr>
          <w:rFonts w:ascii="Calibri" w:eastAsia="Calibri" w:hAnsi="Calibri" w:cs="Calibri"/>
          <w:sz w:val="24"/>
          <w:szCs w:val="24"/>
        </w:rPr>
        <w:t xml:space="preserve"> the war. By December 1965, the Tinkers met with other students and adults to plan a </w:t>
      </w:r>
      <w:proofErr w:type="gramStart"/>
      <w:r w:rsidRPr="00EF2D88">
        <w:rPr>
          <w:rFonts w:ascii="Calibri" w:eastAsia="Calibri" w:hAnsi="Calibri" w:cs="Calibri"/>
          <w:sz w:val="24"/>
          <w:szCs w:val="24"/>
        </w:rPr>
        <w:t>protest against</w:t>
      </w:r>
      <w:proofErr w:type="gramEnd"/>
      <w:r w:rsidRPr="00EF2D88">
        <w:rPr>
          <w:rFonts w:ascii="Calibri" w:eastAsia="Calibri" w:hAnsi="Calibri" w:cs="Calibri"/>
          <w:sz w:val="24"/>
          <w:szCs w:val="24"/>
        </w:rPr>
        <w:t xml:space="preserve"> the Vietnam War. The students planned to wear 2-inch black armbands to school as a form of protest. However, before the planned protest occurred, school officials found out and created a policy stating anyone wearing a black arm band to school would be asked to remove it and suspended if they chose not to comply. Knowing they risked suspension, the students chose to go ahead with the protest. Mary Beth Tinker, who was in junior high at the time, chose to wear the armband despite the new policy. When she arrived at the school, she was asked to remove the </w:t>
      </w:r>
      <w:proofErr w:type="gramStart"/>
      <w:r w:rsidRPr="00EF2D88">
        <w:rPr>
          <w:rFonts w:ascii="Calibri" w:eastAsia="Calibri" w:hAnsi="Calibri" w:cs="Calibri"/>
          <w:sz w:val="24"/>
          <w:szCs w:val="24"/>
        </w:rPr>
        <w:t>arm band</w:t>
      </w:r>
      <w:proofErr w:type="gramEnd"/>
      <w:r w:rsidRPr="00EF2D88">
        <w:rPr>
          <w:rFonts w:ascii="Calibri" w:eastAsia="Calibri" w:hAnsi="Calibri" w:cs="Calibri"/>
          <w:sz w:val="24"/>
          <w:szCs w:val="24"/>
        </w:rPr>
        <w:t xml:space="preserve"> and, when she refused, </w:t>
      </w:r>
      <w:r>
        <w:rPr>
          <w:rFonts w:ascii="Calibri" w:eastAsia="Calibri" w:hAnsi="Calibri" w:cs="Calibri"/>
          <w:sz w:val="24"/>
          <w:szCs w:val="24"/>
        </w:rPr>
        <w:t xml:space="preserve">she </w:t>
      </w:r>
      <w:r w:rsidRPr="00EF2D88">
        <w:rPr>
          <w:rFonts w:ascii="Calibri" w:eastAsia="Calibri" w:hAnsi="Calibri" w:cs="Calibri"/>
          <w:sz w:val="24"/>
          <w:szCs w:val="24"/>
        </w:rPr>
        <w:t xml:space="preserve">was suspended for violating the school's policy. John Tinker and Christopher Eckhardt, both in </w:t>
      </w:r>
      <w:proofErr w:type="gramStart"/>
      <w:r w:rsidRPr="00EF2D88">
        <w:rPr>
          <w:rFonts w:ascii="Calibri" w:eastAsia="Calibri" w:hAnsi="Calibri" w:cs="Calibri"/>
          <w:sz w:val="24"/>
          <w:szCs w:val="24"/>
        </w:rPr>
        <w:t>the high</w:t>
      </w:r>
      <w:proofErr w:type="gramEnd"/>
      <w:r w:rsidRPr="00EF2D88">
        <w:rPr>
          <w:rFonts w:ascii="Calibri" w:eastAsia="Calibri" w:hAnsi="Calibri" w:cs="Calibri"/>
          <w:sz w:val="24"/>
          <w:szCs w:val="24"/>
        </w:rPr>
        <w:t xml:space="preserve"> school, also wore their armbands to school, and they, too, were suspended and sent home. In total, </w:t>
      </w:r>
      <w:proofErr w:type="gramStart"/>
      <w:r w:rsidRPr="00EF2D88">
        <w:rPr>
          <w:rFonts w:ascii="Calibri" w:eastAsia="Calibri" w:hAnsi="Calibri" w:cs="Calibri"/>
          <w:sz w:val="24"/>
          <w:szCs w:val="24"/>
        </w:rPr>
        <w:t>five  students</w:t>
      </w:r>
      <w:proofErr w:type="gramEnd"/>
      <w:r w:rsidRPr="00EF2D88">
        <w:rPr>
          <w:rFonts w:ascii="Calibri" w:eastAsia="Calibri" w:hAnsi="Calibri" w:cs="Calibri"/>
          <w:sz w:val="24"/>
          <w:szCs w:val="24"/>
        </w:rPr>
        <w:t xml:space="preserve"> were suspended for wearing </w:t>
      </w:r>
      <w:proofErr w:type="gramStart"/>
      <w:r w:rsidRPr="00EF2D88">
        <w:rPr>
          <w:rFonts w:ascii="Calibri" w:eastAsia="Calibri" w:hAnsi="Calibri" w:cs="Calibri"/>
          <w:sz w:val="24"/>
          <w:szCs w:val="24"/>
        </w:rPr>
        <w:t>the black</w:t>
      </w:r>
      <w:proofErr w:type="gramEnd"/>
      <w:r w:rsidRPr="00EF2D88">
        <w:rPr>
          <w:rFonts w:ascii="Calibri" w:eastAsia="Calibri" w:hAnsi="Calibri" w:cs="Calibri"/>
          <w:sz w:val="24"/>
          <w:szCs w:val="24"/>
        </w:rPr>
        <w:t xml:space="preserve"> armbands and violating school policy. According to the school administration, students would not be allowed to return to school until they agreed to remove their armbands. The students later returned to the school without armbands but decided to file a lawsuit. On behalf of their children, the Tinkers and </w:t>
      </w:r>
      <w:proofErr w:type="spellStart"/>
      <w:r w:rsidRPr="00EF2D88">
        <w:rPr>
          <w:rFonts w:ascii="Calibri" w:eastAsia="Calibri" w:hAnsi="Calibri" w:cs="Calibri"/>
          <w:sz w:val="24"/>
          <w:szCs w:val="24"/>
        </w:rPr>
        <w:t>Eckhardts</w:t>
      </w:r>
      <w:proofErr w:type="spellEnd"/>
      <w:r w:rsidRPr="00EF2D88">
        <w:rPr>
          <w:rFonts w:ascii="Calibri" w:eastAsia="Calibri" w:hAnsi="Calibri" w:cs="Calibri"/>
          <w:sz w:val="24"/>
          <w:szCs w:val="24"/>
        </w:rPr>
        <w:t xml:space="preserve"> sued the Des Moines Independent Community School District for violating the students' First Amendment right. They were represented by the Iowa ACLU and its attorneys.</w:t>
      </w:r>
    </w:p>
    <w:p w14:paraId="3BA1E575" w14:textId="77777777" w:rsidR="00914BA7" w:rsidRPr="00EF2D88" w:rsidRDefault="00914BA7" w:rsidP="00914BA7">
      <w:pPr>
        <w:rPr>
          <w:rFonts w:ascii="Calibri" w:eastAsia="Calibri" w:hAnsi="Calibri" w:cs="Calibri"/>
          <w:sz w:val="24"/>
          <w:szCs w:val="24"/>
        </w:rPr>
      </w:pPr>
    </w:p>
    <w:p w14:paraId="4CEC9E22" w14:textId="77777777" w:rsidR="00914BA7" w:rsidRPr="00EF2D88" w:rsidRDefault="00914BA7" w:rsidP="00914BA7">
      <w:pPr>
        <w:rPr>
          <w:rFonts w:ascii="Calibri" w:eastAsia="Calibri" w:hAnsi="Calibri" w:cs="Calibri"/>
          <w:b/>
          <w:color w:val="910D28"/>
          <w:sz w:val="24"/>
          <w:szCs w:val="24"/>
        </w:rPr>
      </w:pPr>
      <w:r w:rsidRPr="00EF2D88">
        <w:rPr>
          <w:rFonts w:ascii="Calibri" w:eastAsia="Calibri" w:hAnsi="Calibri" w:cs="Calibri"/>
          <w:b/>
          <w:color w:val="910D28"/>
          <w:sz w:val="24"/>
          <w:szCs w:val="24"/>
        </w:rPr>
        <w:t xml:space="preserve">Issue: </w:t>
      </w:r>
    </w:p>
    <w:p w14:paraId="2C7B5605" w14:textId="77777777" w:rsidR="00914BA7" w:rsidRPr="00EF2D88" w:rsidRDefault="00914BA7" w:rsidP="00914BA7">
      <w:pPr>
        <w:rPr>
          <w:rFonts w:ascii="Calibri" w:eastAsia="Calibri" w:hAnsi="Calibri" w:cs="Calibri"/>
          <w:sz w:val="24"/>
          <w:szCs w:val="24"/>
        </w:rPr>
      </w:pPr>
      <w:r w:rsidRPr="00EF2D88">
        <w:rPr>
          <w:rFonts w:ascii="Calibri" w:eastAsia="Calibri" w:hAnsi="Calibri" w:cs="Calibri"/>
          <w:sz w:val="24"/>
          <w:szCs w:val="24"/>
        </w:rPr>
        <w:t xml:space="preserve">Does prohibiting students from wearing armbands as a form of protest in a public-school setting violate their First Amendment right to freedom of speech? </w:t>
      </w:r>
    </w:p>
    <w:p w14:paraId="129FC53A" w14:textId="77777777" w:rsidR="00914BA7" w:rsidRPr="00EF2D88" w:rsidRDefault="00914BA7" w:rsidP="00914BA7">
      <w:pPr>
        <w:rPr>
          <w:rFonts w:ascii="Calibri" w:eastAsia="Calibri" w:hAnsi="Calibri" w:cs="Calibri"/>
          <w:b/>
          <w:sz w:val="24"/>
          <w:szCs w:val="24"/>
        </w:rPr>
      </w:pPr>
    </w:p>
    <w:p w14:paraId="165DF985" w14:textId="77777777" w:rsidR="00914BA7" w:rsidRPr="00EF2D88" w:rsidRDefault="00914BA7" w:rsidP="00914BA7">
      <w:pPr>
        <w:rPr>
          <w:rFonts w:ascii="Calibri" w:eastAsia="Calibri" w:hAnsi="Calibri" w:cs="Calibri"/>
          <w:b/>
          <w:color w:val="910D28"/>
          <w:sz w:val="24"/>
          <w:szCs w:val="24"/>
        </w:rPr>
      </w:pPr>
      <w:r w:rsidRPr="00EF2D88">
        <w:rPr>
          <w:rFonts w:ascii="Calibri" w:eastAsia="Calibri" w:hAnsi="Calibri" w:cs="Calibri"/>
          <w:b/>
          <w:color w:val="910D28"/>
          <w:sz w:val="24"/>
          <w:szCs w:val="24"/>
        </w:rPr>
        <w:t>Lower Courts Decisions:</w:t>
      </w:r>
    </w:p>
    <w:p w14:paraId="2E3A26AE" w14:textId="77777777" w:rsidR="00914BA7" w:rsidRPr="00EF2D88" w:rsidRDefault="00914BA7" w:rsidP="00914BA7">
      <w:pPr>
        <w:rPr>
          <w:rFonts w:ascii="Calibri" w:eastAsia="Calibri" w:hAnsi="Calibri" w:cs="Calibri"/>
          <w:b/>
          <w:sz w:val="24"/>
          <w:szCs w:val="24"/>
        </w:rPr>
      </w:pPr>
      <w:r w:rsidRPr="00EF2D88">
        <w:rPr>
          <w:rFonts w:ascii="Calibri" w:eastAsia="Calibri" w:hAnsi="Calibri" w:cs="Calibri"/>
          <w:sz w:val="24"/>
          <w:szCs w:val="24"/>
        </w:rPr>
        <w:t xml:space="preserve">The U.S. District Court of Iowa sided with the school stating the school was in the right to prevent students from wearing armbands </w:t>
      </w:r>
      <w:proofErr w:type="gramStart"/>
      <w:r w:rsidRPr="00EF2D88">
        <w:rPr>
          <w:rFonts w:ascii="Calibri" w:eastAsia="Calibri" w:hAnsi="Calibri" w:cs="Calibri"/>
          <w:sz w:val="24"/>
          <w:szCs w:val="24"/>
        </w:rPr>
        <w:t>in order to</w:t>
      </w:r>
      <w:proofErr w:type="gramEnd"/>
      <w:r w:rsidRPr="00EF2D88">
        <w:rPr>
          <w:rFonts w:ascii="Calibri" w:eastAsia="Calibri" w:hAnsi="Calibri" w:cs="Calibri"/>
          <w:sz w:val="24"/>
          <w:szCs w:val="24"/>
        </w:rPr>
        <w:t xml:space="preserve"> avoid a disturbance. The case was later appealed to the U.S. Court of Appeals for the 8th Circuit. The Court of Appeals’ decision was divided so the original decision remained, and it was appealed to the United States Supreme Court. </w:t>
      </w:r>
    </w:p>
    <w:p w14:paraId="07EAA001" w14:textId="77777777" w:rsidR="00914BA7" w:rsidRPr="00EF2D88" w:rsidRDefault="00914BA7" w:rsidP="00914BA7">
      <w:pPr>
        <w:rPr>
          <w:rFonts w:ascii="Calibri" w:eastAsia="Calibri" w:hAnsi="Calibri" w:cs="Calibri"/>
          <w:b/>
          <w:sz w:val="24"/>
          <w:szCs w:val="24"/>
        </w:rPr>
      </w:pPr>
    </w:p>
    <w:p w14:paraId="4F090215" w14:textId="77777777" w:rsidR="00914BA7" w:rsidRDefault="00914BA7" w:rsidP="00914BA7">
      <w:pPr>
        <w:rPr>
          <w:rFonts w:ascii="Calibri" w:eastAsia="Calibri" w:hAnsi="Calibri" w:cs="Calibri"/>
          <w:b/>
          <w:color w:val="910D28"/>
          <w:sz w:val="24"/>
          <w:szCs w:val="24"/>
        </w:rPr>
      </w:pPr>
    </w:p>
    <w:p w14:paraId="27A1B08E" w14:textId="77777777" w:rsidR="00914BA7" w:rsidRPr="00EF2D88" w:rsidRDefault="00914BA7" w:rsidP="00914BA7">
      <w:pPr>
        <w:rPr>
          <w:rFonts w:ascii="Calibri" w:eastAsia="Calibri" w:hAnsi="Calibri" w:cs="Calibri"/>
          <w:b/>
          <w:color w:val="910D28"/>
          <w:sz w:val="24"/>
          <w:szCs w:val="24"/>
        </w:rPr>
      </w:pPr>
      <w:r w:rsidRPr="00EF2D88">
        <w:rPr>
          <w:rFonts w:ascii="Calibri" w:eastAsia="Calibri" w:hAnsi="Calibri" w:cs="Calibri"/>
          <w:b/>
          <w:color w:val="910D28"/>
          <w:sz w:val="24"/>
          <w:szCs w:val="24"/>
        </w:rPr>
        <w:lastRenderedPageBreak/>
        <w:t>Supreme Court's Decision:</w:t>
      </w:r>
    </w:p>
    <w:p w14:paraId="00FEF1A9" w14:textId="77777777" w:rsidR="00914BA7" w:rsidRPr="00EF2D88" w:rsidRDefault="00914BA7" w:rsidP="00914BA7">
      <w:pPr>
        <w:rPr>
          <w:rFonts w:ascii="Calibri" w:eastAsia="Calibri" w:hAnsi="Calibri" w:cs="Calibri"/>
          <w:sz w:val="24"/>
          <w:szCs w:val="24"/>
        </w:rPr>
      </w:pPr>
      <w:r w:rsidRPr="00EF2D88">
        <w:rPr>
          <w:rFonts w:ascii="Calibri" w:eastAsia="Calibri" w:hAnsi="Calibri" w:cs="Calibri"/>
          <w:sz w:val="24"/>
          <w:szCs w:val="24"/>
        </w:rPr>
        <w:t xml:space="preserve">The </w:t>
      </w:r>
      <w:r w:rsidRPr="00EF2D88">
        <w:rPr>
          <w:rFonts w:ascii="Calibri" w:eastAsia="Calibri" w:hAnsi="Calibri" w:cs="Calibri"/>
          <w:i/>
          <w:sz w:val="24"/>
          <w:szCs w:val="24"/>
        </w:rPr>
        <w:t>Tinker v. Des Moines</w:t>
      </w:r>
      <w:r w:rsidRPr="00EF2D88">
        <w:rPr>
          <w:rFonts w:ascii="Calibri" w:eastAsia="Calibri" w:hAnsi="Calibri" w:cs="Calibri"/>
          <w:sz w:val="24"/>
          <w:szCs w:val="24"/>
        </w:rPr>
        <w:t xml:space="preserve"> case reached the Supreme Court in 1969 where they ruled in favor of the Tinkers with a 7-2 decision. The Court ruled in favor of the students stating that prohibiting students from wearing armbands to school as a form of protest violated their First Amendment right to freedom of speech. The district argued that the armbands would cause a distraction to the students and the Supreme Court responded by stating that any public educational setting trying to censor free speech must prove that the speech was significantly interfering with the school’s ability to maintain order. </w:t>
      </w:r>
    </w:p>
    <w:p w14:paraId="4F898B1A" w14:textId="77777777" w:rsidR="00914BA7" w:rsidRPr="00EF2D88" w:rsidRDefault="00914BA7" w:rsidP="00914BA7">
      <w:pPr>
        <w:rPr>
          <w:rFonts w:ascii="Calibri" w:eastAsia="Calibri" w:hAnsi="Calibri" w:cs="Calibri"/>
          <w:b/>
          <w:color w:val="910D28"/>
          <w:sz w:val="24"/>
          <w:szCs w:val="24"/>
        </w:rPr>
      </w:pPr>
    </w:p>
    <w:p w14:paraId="6AAA52D0" w14:textId="77777777" w:rsidR="00914BA7" w:rsidRPr="00EF2D88" w:rsidRDefault="00914BA7" w:rsidP="00914BA7">
      <w:pPr>
        <w:rPr>
          <w:rFonts w:ascii="Calibri" w:eastAsia="Calibri" w:hAnsi="Calibri" w:cs="Calibri"/>
          <w:b/>
          <w:color w:val="910D28"/>
          <w:sz w:val="24"/>
          <w:szCs w:val="24"/>
        </w:rPr>
      </w:pPr>
      <w:r w:rsidRPr="00EF2D88">
        <w:rPr>
          <w:rFonts w:ascii="Calibri" w:eastAsia="Calibri" w:hAnsi="Calibri" w:cs="Calibri"/>
          <w:b/>
          <w:color w:val="910D28"/>
          <w:sz w:val="24"/>
          <w:szCs w:val="24"/>
        </w:rPr>
        <w:t xml:space="preserve">Excerpts From Majority Opinion: </w:t>
      </w:r>
    </w:p>
    <w:p w14:paraId="2337F039" w14:textId="77777777" w:rsidR="00914BA7" w:rsidRPr="00EF2D88" w:rsidRDefault="00914BA7" w:rsidP="00914BA7">
      <w:pPr>
        <w:rPr>
          <w:rFonts w:ascii="Calibri" w:eastAsia="Calibri" w:hAnsi="Calibri" w:cs="Calibri"/>
          <w:sz w:val="24"/>
          <w:szCs w:val="24"/>
        </w:rPr>
      </w:pPr>
      <w:r w:rsidRPr="00EF2D88">
        <w:rPr>
          <w:rFonts w:ascii="Calibri" w:eastAsia="Calibri" w:hAnsi="Calibri" w:cs="Calibri"/>
          <w:sz w:val="24"/>
          <w:szCs w:val="24"/>
        </w:rPr>
        <w:t xml:space="preserve">Justice Abe Fortas delivered the opinion of the Court: “First Amendment rights, applied </w:t>
      </w:r>
      <w:proofErr w:type="gramStart"/>
      <w:r w:rsidRPr="00EF2D88">
        <w:rPr>
          <w:rFonts w:ascii="Calibri" w:eastAsia="Calibri" w:hAnsi="Calibri" w:cs="Calibri"/>
          <w:sz w:val="24"/>
          <w:szCs w:val="24"/>
        </w:rPr>
        <w:t>in light of</w:t>
      </w:r>
      <w:proofErr w:type="gramEnd"/>
      <w:r w:rsidRPr="00EF2D88">
        <w:rPr>
          <w:rFonts w:ascii="Calibri" w:eastAsia="Calibri" w:hAnsi="Calibri" w:cs="Calibri"/>
          <w:sz w:val="24"/>
          <w:szCs w:val="24"/>
        </w:rPr>
        <w:t xml:space="preserve"> the special characteristics of the school environment, are available to teachers and students. It can hardly be argued that either students or teachers shed their constitutional rights to freedom of speech or </w:t>
      </w:r>
      <w:r w:rsidRPr="00EF2D88">
        <w:rPr>
          <w:rFonts w:ascii="Calibri" w:eastAsia="Calibri" w:hAnsi="Calibri" w:cs="Calibri"/>
          <w:b/>
          <w:sz w:val="24"/>
          <w:szCs w:val="24"/>
        </w:rPr>
        <w:t>expression</w:t>
      </w:r>
      <w:r w:rsidRPr="00EF2D88">
        <w:rPr>
          <w:rFonts w:ascii="Calibri" w:eastAsia="Calibri" w:hAnsi="Calibri" w:cs="Calibri"/>
          <w:sz w:val="24"/>
          <w:szCs w:val="24"/>
        </w:rPr>
        <w:t xml:space="preserve"> at the schoolhouse gate . . . </w:t>
      </w:r>
      <w:proofErr w:type="gramStart"/>
      <w:r w:rsidRPr="00EF2D88">
        <w:rPr>
          <w:rFonts w:ascii="Calibri" w:eastAsia="Calibri" w:hAnsi="Calibri" w:cs="Calibri"/>
          <w:sz w:val="24"/>
          <w:szCs w:val="24"/>
        </w:rPr>
        <w:t>“</w:t>
      </w:r>
      <w:r>
        <w:rPr>
          <w:rFonts w:ascii="Calibri" w:eastAsia="Calibri" w:hAnsi="Calibri" w:cs="Calibri"/>
          <w:sz w:val="24"/>
          <w:szCs w:val="24"/>
        </w:rPr>
        <w:t xml:space="preserve"> </w:t>
      </w:r>
      <w:r w:rsidRPr="00EF2D88">
        <w:rPr>
          <w:rFonts w:ascii="Calibri" w:eastAsia="Calibri" w:hAnsi="Calibri" w:cs="Calibri"/>
          <w:sz w:val="24"/>
          <w:szCs w:val="24"/>
        </w:rPr>
        <w:t>(</w:t>
      </w:r>
      <w:proofErr w:type="gramEnd"/>
      <w:r w:rsidRPr="00EF2D88">
        <w:rPr>
          <w:rFonts w:ascii="Calibri" w:eastAsia="Calibri" w:hAnsi="Calibri" w:cs="Calibri"/>
          <w:i/>
          <w:sz w:val="24"/>
          <w:szCs w:val="24"/>
        </w:rPr>
        <w:t>Tinker v Des Moines,</w:t>
      </w:r>
      <w:r w:rsidRPr="00EF2D88">
        <w:rPr>
          <w:rFonts w:ascii="Calibri" w:eastAsia="Calibri" w:hAnsi="Calibri" w:cs="Calibri"/>
          <w:sz w:val="24"/>
          <w:szCs w:val="24"/>
        </w:rPr>
        <w:t xml:space="preserve"> 1969). </w:t>
      </w:r>
    </w:p>
    <w:p w14:paraId="34077B72" w14:textId="77777777" w:rsidR="00914BA7" w:rsidRPr="00EF2D88" w:rsidRDefault="00914BA7" w:rsidP="00914BA7">
      <w:pPr>
        <w:rPr>
          <w:rFonts w:ascii="Calibri" w:eastAsia="Calibri" w:hAnsi="Calibri" w:cs="Calibri"/>
          <w:sz w:val="24"/>
          <w:szCs w:val="24"/>
        </w:rPr>
      </w:pPr>
    </w:p>
    <w:p w14:paraId="1E179BDC" w14:textId="77777777" w:rsidR="00914BA7" w:rsidRPr="00EF2D88" w:rsidRDefault="00914BA7" w:rsidP="00914BA7">
      <w:pPr>
        <w:rPr>
          <w:rFonts w:ascii="Calibri" w:eastAsia="Calibri" w:hAnsi="Calibri" w:cs="Calibri"/>
          <w:sz w:val="24"/>
          <w:szCs w:val="24"/>
        </w:rPr>
      </w:pPr>
      <w:r w:rsidRPr="00EF2D88">
        <w:rPr>
          <w:rFonts w:ascii="Calibri" w:eastAsia="Calibri" w:hAnsi="Calibri" w:cs="Calibri"/>
          <w:sz w:val="24"/>
          <w:szCs w:val="24"/>
        </w:rPr>
        <w:t>Justice Fortas followed with more on free speech in public schools: “In our system, state-operated schools may not be enclaves of totalitarianism. School officials do not possess absolute authority over their students. Students in school, as well as out of school</w:t>
      </w:r>
      <w:r>
        <w:rPr>
          <w:rFonts w:ascii="Calibri" w:eastAsia="Calibri" w:hAnsi="Calibri" w:cs="Calibri"/>
          <w:sz w:val="24"/>
          <w:szCs w:val="24"/>
        </w:rPr>
        <w:t xml:space="preserve">, </w:t>
      </w:r>
      <w:r w:rsidRPr="00EF2D88">
        <w:rPr>
          <w:rFonts w:ascii="Calibri" w:eastAsia="Calibri" w:hAnsi="Calibri" w:cs="Calibri"/>
          <w:sz w:val="24"/>
          <w:szCs w:val="24"/>
        </w:rPr>
        <w:t xml:space="preserve">are “persons” under our Constitution.” </w:t>
      </w:r>
    </w:p>
    <w:p w14:paraId="0AC2F96D" w14:textId="77777777" w:rsidR="00914BA7" w:rsidRPr="00EF2D88" w:rsidRDefault="00914BA7" w:rsidP="00914BA7">
      <w:pPr>
        <w:rPr>
          <w:rFonts w:ascii="Calibri" w:eastAsia="Calibri" w:hAnsi="Calibri" w:cs="Calibri"/>
          <w:sz w:val="24"/>
          <w:szCs w:val="24"/>
        </w:rPr>
      </w:pPr>
    </w:p>
    <w:p w14:paraId="74E78E68" w14:textId="77777777" w:rsidR="00914BA7" w:rsidRPr="00EF2D88" w:rsidRDefault="00914BA7" w:rsidP="00914BA7">
      <w:pPr>
        <w:rPr>
          <w:rFonts w:ascii="Calibri" w:eastAsia="Calibri" w:hAnsi="Calibri" w:cs="Calibri"/>
          <w:sz w:val="24"/>
          <w:szCs w:val="24"/>
        </w:rPr>
      </w:pPr>
      <w:r w:rsidRPr="00EF2D88">
        <w:rPr>
          <w:rFonts w:ascii="Calibri" w:eastAsia="Calibri" w:hAnsi="Calibri" w:cs="Calibri"/>
          <w:sz w:val="24"/>
          <w:szCs w:val="24"/>
        </w:rPr>
        <w:t>“. . . [H]e may express his opinions on controversial subjects . . . if he does so without materially and substantially interfering with the requirements of appropriate discipline in the operation of the school . . .. But conduct by the student, in class or out which for any reason materially disrupts classwork or involved substantial disorder . . . is, of course not immunized by the constitutional guarantee of freedom of speech” (</w:t>
      </w:r>
      <w:r w:rsidRPr="00EF2D88">
        <w:rPr>
          <w:rFonts w:ascii="Calibri" w:eastAsia="Calibri" w:hAnsi="Calibri" w:cs="Calibri"/>
          <w:i/>
          <w:sz w:val="24"/>
          <w:szCs w:val="24"/>
        </w:rPr>
        <w:t>Tinker v Des Moines</w:t>
      </w:r>
      <w:r w:rsidRPr="00EF2D88">
        <w:rPr>
          <w:rFonts w:ascii="Calibri" w:eastAsia="Calibri" w:hAnsi="Calibri" w:cs="Calibri"/>
          <w:sz w:val="24"/>
          <w:szCs w:val="24"/>
        </w:rPr>
        <w:t xml:space="preserve">, 1969). </w:t>
      </w:r>
    </w:p>
    <w:p w14:paraId="724F1461" w14:textId="77777777" w:rsidR="00914BA7" w:rsidRPr="00EF2D88" w:rsidRDefault="00914BA7" w:rsidP="00914BA7">
      <w:pPr>
        <w:rPr>
          <w:rFonts w:ascii="Calibri" w:eastAsia="Calibri" w:hAnsi="Calibri" w:cs="Calibri"/>
          <w:sz w:val="24"/>
          <w:szCs w:val="24"/>
        </w:rPr>
      </w:pPr>
    </w:p>
    <w:p w14:paraId="5ECDBCF4" w14:textId="77777777" w:rsidR="00914BA7" w:rsidRPr="00EF2D88" w:rsidRDefault="00914BA7" w:rsidP="00914BA7">
      <w:pPr>
        <w:rPr>
          <w:rFonts w:ascii="Calibri" w:eastAsia="Calibri" w:hAnsi="Calibri" w:cs="Calibri"/>
          <w:sz w:val="24"/>
          <w:szCs w:val="24"/>
        </w:rPr>
      </w:pPr>
    </w:p>
    <w:p w14:paraId="15D6D641" w14:textId="77777777" w:rsidR="00914BA7" w:rsidRPr="00EF2D88" w:rsidRDefault="00914BA7" w:rsidP="00914BA7">
      <w:pPr>
        <w:rPr>
          <w:rFonts w:ascii="Calibri" w:eastAsia="Calibri" w:hAnsi="Calibri" w:cs="Calibri"/>
          <w:sz w:val="24"/>
          <w:szCs w:val="24"/>
        </w:rPr>
      </w:pPr>
    </w:p>
    <w:p w14:paraId="6DE62785" w14:textId="77777777" w:rsidR="00914BA7" w:rsidRPr="00EF2D88" w:rsidRDefault="00914BA7" w:rsidP="00914BA7">
      <w:pPr>
        <w:rPr>
          <w:rFonts w:ascii="Calibri" w:eastAsia="Calibri" w:hAnsi="Calibri" w:cs="Calibri"/>
          <w:sz w:val="24"/>
          <w:szCs w:val="24"/>
        </w:rPr>
      </w:pPr>
    </w:p>
    <w:p w14:paraId="31870417" w14:textId="77777777" w:rsidR="00914BA7" w:rsidRPr="00EF2D88" w:rsidRDefault="00914BA7" w:rsidP="00914BA7">
      <w:pPr>
        <w:rPr>
          <w:rFonts w:ascii="Calibri" w:eastAsia="Calibri" w:hAnsi="Calibri" w:cs="Calibri"/>
          <w:sz w:val="24"/>
          <w:szCs w:val="24"/>
        </w:rPr>
      </w:pPr>
    </w:p>
    <w:p w14:paraId="23B4BA0D" w14:textId="77777777" w:rsidR="00914BA7" w:rsidRPr="00EF2D88" w:rsidRDefault="00914BA7" w:rsidP="00914BA7">
      <w:pPr>
        <w:rPr>
          <w:rFonts w:ascii="Calibri" w:eastAsia="Calibri" w:hAnsi="Calibri" w:cs="Calibri"/>
          <w:sz w:val="24"/>
          <w:szCs w:val="24"/>
        </w:rPr>
      </w:pPr>
    </w:p>
    <w:p w14:paraId="67525A70" w14:textId="77777777" w:rsidR="00914BA7" w:rsidRPr="00EF2D88" w:rsidRDefault="00914BA7" w:rsidP="00914BA7">
      <w:pPr>
        <w:rPr>
          <w:rFonts w:ascii="Calibri" w:eastAsia="Calibri" w:hAnsi="Calibri" w:cs="Calibri"/>
          <w:sz w:val="24"/>
          <w:szCs w:val="24"/>
        </w:rPr>
      </w:pPr>
    </w:p>
    <w:p w14:paraId="5D647319" w14:textId="77777777" w:rsidR="00914BA7" w:rsidRPr="00EF2D88" w:rsidRDefault="00914BA7" w:rsidP="00914BA7">
      <w:pPr>
        <w:rPr>
          <w:rFonts w:ascii="Calibri" w:eastAsia="Calibri" w:hAnsi="Calibri" w:cs="Calibri"/>
          <w:sz w:val="24"/>
          <w:szCs w:val="24"/>
        </w:rPr>
      </w:pPr>
    </w:p>
    <w:p w14:paraId="71A05BF2" w14:textId="77777777" w:rsidR="00914BA7" w:rsidRPr="00EF2D88" w:rsidRDefault="00914BA7" w:rsidP="00914BA7">
      <w:pPr>
        <w:rPr>
          <w:rFonts w:ascii="Calibri" w:eastAsia="Calibri" w:hAnsi="Calibri" w:cs="Calibri"/>
          <w:sz w:val="24"/>
          <w:szCs w:val="24"/>
        </w:rPr>
      </w:pPr>
    </w:p>
    <w:p w14:paraId="2FF45943" w14:textId="77777777" w:rsidR="00914BA7" w:rsidRDefault="00914BA7" w:rsidP="00914BA7">
      <w:pPr>
        <w:rPr>
          <w:rFonts w:ascii="Calibri" w:eastAsia="Calibri" w:hAnsi="Calibri" w:cs="Calibri"/>
          <w:b/>
          <w:color w:val="980000"/>
          <w:sz w:val="24"/>
          <w:szCs w:val="24"/>
        </w:rPr>
      </w:pPr>
    </w:p>
    <w:p w14:paraId="4C112D0A" w14:textId="77777777" w:rsidR="00914BA7" w:rsidRDefault="00914BA7" w:rsidP="00914BA7">
      <w:pPr>
        <w:rPr>
          <w:rFonts w:ascii="Calibri" w:eastAsia="Calibri" w:hAnsi="Calibri" w:cs="Calibri"/>
          <w:b/>
          <w:color w:val="980000"/>
          <w:sz w:val="24"/>
          <w:szCs w:val="24"/>
        </w:rPr>
      </w:pPr>
    </w:p>
    <w:p w14:paraId="49F9C055" w14:textId="77777777" w:rsidR="00914BA7" w:rsidRDefault="00914BA7" w:rsidP="00914BA7">
      <w:pPr>
        <w:rPr>
          <w:rFonts w:ascii="Calibri" w:eastAsia="Calibri" w:hAnsi="Calibri" w:cs="Calibri"/>
          <w:b/>
          <w:color w:val="980000"/>
          <w:sz w:val="24"/>
          <w:szCs w:val="24"/>
        </w:rPr>
      </w:pPr>
    </w:p>
    <w:p w14:paraId="0D5465B5" w14:textId="77777777" w:rsidR="00914BA7" w:rsidRDefault="00914BA7" w:rsidP="00914BA7">
      <w:pPr>
        <w:rPr>
          <w:rFonts w:ascii="Calibri" w:eastAsia="Calibri" w:hAnsi="Calibri" w:cs="Calibri"/>
          <w:b/>
          <w:color w:val="980000"/>
          <w:sz w:val="24"/>
          <w:szCs w:val="24"/>
        </w:rPr>
      </w:pPr>
    </w:p>
    <w:p w14:paraId="79CE88A6" w14:textId="77777777" w:rsidR="00914BA7" w:rsidRPr="00EF2D88" w:rsidRDefault="00914BA7" w:rsidP="00914BA7">
      <w:pPr>
        <w:rPr>
          <w:rFonts w:ascii="Calibri" w:eastAsia="Calibri" w:hAnsi="Calibri" w:cs="Calibri"/>
          <w:b/>
          <w:color w:val="980000"/>
          <w:sz w:val="24"/>
          <w:szCs w:val="24"/>
        </w:rPr>
      </w:pPr>
      <w:r w:rsidRPr="00EF2D88">
        <w:rPr>
          <w:rFonts w:ascii="Calibri" w:eastAsia="Calibri" w:hAnsi="Calibri" w:cs="Calibri"/>
          <w:b/>
          <w:color w:val="980000"/>
          <w:sz w:val="24"/>
          <w:szCs w:val="24"/>
        </w:rPr>
        <w:lastRenderedPageBreak/>
        <w:t xml:space="preserve">Sources: </w:t>
      </w:r>
    </w:p>
    <w:p w14:paraId="035D357B" w14:textId="77777777" w:rsidR="00914BA7" w:rsidRPr="00EF2D88" w:rsidRDefault="00914BA7" w:rsidP="00914BA7">
      <w:pPr>
        <w:rPr>
          <w:rFonts w:ascii="Calibri" w:eastAsia="Calibri" w:hAnsi="Calibri" w:cs="Calibri"/>
          <w:sz w:val="24"/>
          <w:szCs w:val="24"/>
        </w:rPr>
      </w:pPr>
    </w:p>
    <w:p w14:paraId="29D955D3" w14:textId="77777777" w:rsidR="00914BA7" w:rsidRPr="00EF2D88" w:rsidRDefault="00914BA7" w:rsidP="00914BA7">
      <w:pPr>
        <w:rPr>
          <w:rFonts w:ascii="Calibri" w:eastAsia="Calibri" w:hAnsi="Calibri" w:cs="Calibri"/>
          <w:sz w:val="24"/>
          <w:szCs w:val="24"/>
        </w:rPr>
      </w:pPr>
      <w:r w:rsidRPr="00EF2D88">
        <w:rPr>
          <w:rFonts w:ascii="Calibri" w:eastAsia="Calibri" w:hAnsi="Calibri" w:cs="Calibri"/>
          <w:sz w:val="24"/>
          <w:szCs w:val="24"/>
        </w:rPr>
        <w:t>American Civil Liberties Union. (n.d.).</w:t>
      </w:r>
      <w:r w:rsidRPr="00EF2D88">
        <w:rPr>
          <w:rFonts w:ascii="Calibri" w:eastAsia="Calibri" w:hAnsi="Calibri" w:cs="Calibri"/>
          <w:i/>
          <w:sz w:val="24"/>
          <w:szCs w:val="24"/>
        </w:rPr>
        <w:t xml:space="preserve"> Tinker v. Des Moines-Landmark Supreme Court Ruling </w:t>
      </w:r>
      <w:proofErr w:type="gramStart"/>
      <w:r w:rsidRPr="00EF2D88">
        <w:rPr>
          <w:rFonts w:ascii="Calibri" w:eastAsia="Calibri" w:hAnsi="Calibri" w:cs="Calibri"/>
          <w:i/>
          <w:sz w:val="24"/>
          <w:szCs w:val="24"/>
        </w:rPr>
        <w:t>On</w:t>
      </w:r>
      <w:proofErr w:type="gramEnd"/>
      <w:r w:rsidRPr="00EF2D88">
        <w:rPr>
          <w:rFonts w:ascii="Calibri" w:eastAsia="Calibri" w:hAnsi="Calibri" w:cs="Calibri"/>
          <w:i/>
          <w:sz w:val="24"/>
          <w:szCs w:val="24"/>
        </w:rPr>
        <w:t xml:space="preserve"> Behalf </w:t>
      </w:r>
      <w:proofErr w:type="gramStart"/>
      <w:r w:rsidRPr="00EF2D88">
        <w:rPr>
          <w:rFonts w:ascii="Calibri" w:eastAsia="Calibri" w:hAnsi="Calibri" w:cs="Calibri"/>
          <w:i/>
          <w:sz w:val="24"/>
          <w:szCs w:val="24"/>
        </w:rPr>
        <w:t>Of</w:t>
      </w:r>
      <w:proofErr w:type="gramEnd"/>
      <w:r w:rsidRPr="00EF2D88">
        <w:rPr>
          <w:rFonts w:ascii="Calibri" w:eastAsia="Calibri" w:hAnsi="Calibri" w:cs="Calibri"/>
          <w:i/>
          <w:sz w:val="24"/>
          <w:szCs w:val="24"/>
        </w:rPr>
        <w:t xml:space="preserve"> Student Expression. </w:t>
      </w:r>
      <w:hyperlink r:id="rId7">
        <w:r w:rsidRPr="00914BA7">
          <w:rPr>
            <w:rFonts w:ascii="Calibri" w:eastAsia="Calibri" w:hAnsi="Calibri" w:cs="Calibri"/>
            <w:color w:val="288AC3" w:themeColor="accent1"/>
            <w:sz w:val="24"/>
            <w:szCs w:val="24"/>
            <w:u w:val="single"/>
          </w:rPr>
          <w:t>https://www.aclu.org/other/tinker-v-des-moines-landmark-supreme-court-ruling-behalf-student-expression</w:t>
        </w:r>
      </w:hyperlink>
    </w:p>
    <w:p w14:paraId="11BE4497" w14:textId="77777777" w:rsidR="00914BA7" w:rsidRPr="00EF2D88" w:rsidRDefault="00914BA7" w:rsidP="00914BA7">
      <w:pPr>
        <w:rPr>
          <w:rFonts w:ascii="Calibri" w:eastAsia="Calibri" w:hAnsi="Calibri" w:cs="Calibri"/>
          <w:sz w:val="24"/>
          <w:szCs w:val="24"/>
        </w:rPr>
      </w:pPr>
    </w:p>
    <w:p w14:paraId="4B5A0C87" w14:textId="77777777" w:rsidR="00914BA7" w:rsidRPr="00914BA7" w:rsidRDefault="00914BA7" w:rsidP="00914BA7">
      <w:pPr>
        <w:rPr>
          <w:rFonts w:ascii="Calibri" w:eastAsia="Calibri" w:hAnsi="Calibri" w:cs="Calibri"/>
          <w:color w:val="288AC3" w:themeColor="accent1"/>
          <w:sz w:val="24"/>
          <w:szCs w:val="24"/>
        </w:rPr>
      </w:pPr>
      <w:r w:rsidRPr="00EF2D88">
        <w:rPr>
          <w:rFonts w:ascii="Calibri" w:eastAsia="Calibri" w:hAnsi="Calibri" w:cs="Calibri"/>
          <w:sz w:val="24"/>
          <w:szCs w:val="24"/>
        </w:rPr>
        <w:t xml:space="preserve">Fortas, A. &amp; Supreme Court of The United States. (1968) </w:t>
      </w:r>
      <w:r w:rsidRPr="00EF2D88">
        <w:rPr>
          <w:rFonts w:ascii="Calibri" w:eastAsia="Calibri" w:hAnsi="Calibri" w:cs="Calibri"/>
          <w:i/>
          <w:sz w:val="24"/>
          <w:szCs w:val="24"/>
        </w:rPr>
        <w:t xml:space="preserve">U.S. Reports: Tinker v. Des Moines School Dist., 393 U.S. 503. </w:t>
      </w:r>
      <w:r w:rsidRPr="00EF2D88">
        <w:rPr>
          <w:rFonts w:ascii="Calibri" w:eastAsia="Calibri" w:hAnsi="Calibri" w:cs="Calibri"/>
          <w:sz w:val="24"/>
          <w:szCs w:val="24"/>
        </w:rPr>
        <w:t xml:space="preserve">[Periodical] Retrieved from the Library of Congress, </w:t>
      </w:r>
      <w:hyperlink r:id="rId8">
        <w:r w:rsidRPr="00914BA7">
          <w:rPr>
            <w:rFonts w:ascii="Calibri" w:eastAsia="Calibri" w:hAnsi="Calibri" w:cs="Calibri"/>
            <w:color w:val="288AC3" w:themeColor="accent1"/>
            <w:sz w:val="24"/>
            <w:szCs w:val="24"/>
            <w:u w:val="single"/>
          </w:rPr>
          <w:t>https://www.loc.gov/item/usrep393503/</w:t>
        </w:r>
      </w:hyperlink>
    </w:p>
    <w:p w14:paraId="589F6F4F" w14:textId="77777777" w:rsidR="00914BA7" w:rsidRPr="00EF2D88" w:rsidRDefault="00914BA7" w:rsidP="00914BA7">
      <w:pPr>
        <w:rPr>
          <w:rFonts w:ascii="Calibri" w:eastAsia="Calibri" w:hAnsi="Calibri" w:cs="Calibri"/>
          <w:sz w:val="24"/>
          <w:szCs w:val="24"/>
        </w:rPr>
      </w:pPr>
    </w:p>
    <w:p w14:paraId="777E027C" w14:textId="77777777" w:rsidR="00914BA7" w:rsidRPr="00EF2D88" w:rsidRDefault="00914BA7" w:rsidP="00914BA7">
      <w:pPr>
        <w:rPr>
          <w:rFonts w:ascii="Calibri" w:eastAsia="Calibri" w:hAnsi="Calibri" w:cs="Calibri"/>
          <w:sz w:val="24"/>
          <w:szCs w:val="24"/>
          <w:lang w:val="fr-FR"/>
        </w:rPr>
      </w:pPr>
      <w:r w:rsidRPr="00EF2D88">
        <w:rPr>
          <w:rFonts w:ascii="Calibri" w:eastAsia="Calibri" w:hAnsi="Calibri" w:cs="Calibri"/>
          <w:sz w:val="24"/>
          <w:szCs w:val="24"/>
        </w:rPr>
        <w:t xml:space="preserve">Lannacci, N. (2017, February 24). </w:t>
      </w:r>
      <w:r w:rsidRPr="00EF2D88">
        <w:rPr>
          <w:rFonts w:ascii="Calibri" w:eastAsia="Calibri" w:hAnsi="Calibri" w:cs="Calibri"/>
          <w:i/>
          <w:sz w:val="24"/>
          <w:szCs w:val="24"/>
        </w:rPr>
        <w:t xml:space="preserve">Tinker v. Des Moines: Protecting Student Free Speech. </w:t>
      </w:r>
      <w:r w:rsidRPr="00EF2D88">
        <w:rPr>
          <w:rFonts w:ascii="Calibri" w:eastAsia="Calibri" w:hAnsi="Calibri" w:cs="Calibri"/>
          <w:sz w:val="24"/>
          <w:szCs w:val="24"/>
          <w:lang w:val="fr-FR"/>
        </w:rPr>
        <w:t xml:space="preserve">National Constitution Center. </w:t>
      </w:r>
      <w:hyperlink r:id="rId9">
        <w:r w:rsidRPr="00914BA7">
          <w:rPr>
            <w:rFonts w:ascii="Calibri" w:eastAsia="Calibri" w:hAnsi="Calibri" w:cs="Calibri"/>
            <w:color w:val="288AC3" w:themeColor="accent1"/>
            <w:sz w:val="24"/>
            <w:szCs w:val="24"/>
            <w:u w:val="single"/>
            <w:lang w:val="fr-FR"/>
          </w:rPr>
          <w:t>https://constitutioncenter.org/blog/tinker-v-des-moines-protecting-student-free-speech</w:t>
        </w:r>
      </w:hyperlink>
    </w:p>
    <w:p w14:paraId="3832589E" w14:textId="77777777" w:rsidR="00914BA7" w:rsidRPr="00EF2D88" w:rsidRDefault="00914BA7" w:rsidP="00914BA7">
      <w:pPr>
        <w:rPr>
          <w:rFonts w:ascii="Calibri" w:eastAsia="Calibri" w:hAnsi="Calibri" w:cs="Calibri"/>
          <w:sz w:val="24"/>
          <w:szCs w:val="24"/>
          <w:lang w:val="fr-FR"/>
        </w:rPr>
      </w:pPr>
    </w:p>
    <w:p w14:paraId="7E7E6BC1" w14:textId="77777777" w:rsidR="00914BA7" w:rsidRPr="00EF2D88" w:rsidRDefault="00914BA7" w:rsidP="00914BA7">
      <w:pPr>
        <w:rPr>
          <w:rFonts w:ascii="Calibri" w:eastAsia="Calibri" w:hAnsi="Calibri" w:cs="Calibri"/>
          <w:sz w:val="24"/>
          <w:szCs w:val="24"/>
        </w:rPr>
      </w:pPr>
      <w:r w:rsidRPr="00EF2D88">
        <w:rPr>
          <w:rFonts w:ascii="Calibri" w:eastAsia="Calibri" w:hAnsi="Calibri" w:cs="Calibri"/>
          <w:sz w:val="24"/>
          <w:szCs w:val="24"/>
        </w:rPr>
        <w:t>Waples, K., Lamb, P., Piper, K., Singh, B., (2019).</w:t>
      </w:r>
      <w:r w:rsidRPr="00EF2D88">
        <w:rPr>
          <w:rFonts w:ascii="Calibri" w:eastAsia="Calibri" w:hAnsi="Calibri" w:cs="Calibri"/>
          <w:i/>
          <w:sz w:val="24"/>
          <w:szCs w:val="24"/>
        </w:rPr>
        <w:t xml:space="preserve"> Foundational Documents and Court Cases Reader</w:t>
      </w:r>
      <w:r w:rsidRPr="00EF2D88">
        <w:rPr>
          <w:rFonts w:ascii="Calibri" w:eastAsia="Calibri" w:hAnsi="Calibri" w:cs="Calibri"/>
          <w:sz w:val="24"/>
          <w:szCs w:val="24"/>
        </w:rPr>
        <w:t xml:space="preserve">. Bedford, Freeman, &amp; Worth. </w:t>
      </w:r>
    </w:p>
    <w:p w14:paraId="17DE195E" w14:textId="77777777" w:rsidR="001B5BA6" w:rsidRPr="00914BA7" w:rsidRDefault="001B5BA6" w:rsidP="00914BA7"/>
    <w:sectPr w:rsidR="001B5BA6" w:rsidRPr="00914BA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63C33" w14:textId="77777777" w:rsidR="009F3EEE" w:rsidRDefault="009F3EEE" w:rsidP="00DC1CA0">
      <w:r>
        <w:separator/>
      </w:r>
    </w:p>
  </w:endnote>
  <w:endnote w:type="continuationSeparator" w:id="0">
    <w:p w14:paraId="4FA9B0FD" w14:textId="77777777" w:rsidR="009F3EEE" w:rsidRDefault="009F3EEE"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A298" w14:textId="77777777"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0F1EA23C" wp14:editId="25428787">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1FD61144" w14:textId="7183AE29" w:rsidR="009F0B2E" w:rsidRPr="008C5074" w:rsidRDefault="00914BA7" w:rsidP="008C5074">
                          <w:pPr>
                            <w:pStyle w:val="Footer"/>
                          </w:pPr>
                          <w:r>
                            <w:t>CER ACROSS CONTENT AREAS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F1EA23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1FD61144" w14:textId="7183AE29" w:rsidR="009F0B2E" w:rsidRPr="008C5074" w:rsidRDefault="00914BA7" w:rsidP="008C5074">
                    <w:pPr>
                      <w:pStyle w:val="Footer"/>
                    </w:pPr>
                    <w:r>
                      <w:t>CER ACROSS CONTENT AREAS</w:t>
                    </w:r>
                  </w:p>
                </w:txbxContent>
              </v:textbox>
            </v:shape>
          </w:pict>
        </mc:Fallback>
      </mc:AlternateContent>
    </w:r>
    <w:r>
      <w:rPr>
        <w:noProof/>
      </w:rPr>
      <w:drawing>
        <wp:anchor distT="0" distB="0" distL="114300" distR="114300" simplePos="0" relativeHeight="251662335" behindDoc="1" locked="0" layoutInCell="1" allowOverlap="1" wp14:anchorId="04561492" wp14:editId="755FE64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6999" w14:textId="77777777" w:rsidR="009F3EEE" w:rsidRDefault="009F3EEE" w:rsidP="00DC1CA0">
      <w:r>
        <w:separator/>
      </w:r>
    </w:p>
  </w:footnote>
  <w:footnote w:type="continuationSeparator" w:id="0">
    <w:p w14:paraId="03287CB5" w14:textId="77777777" w:rsidR="009F3EEE" w:rsidRDefault="009F3EEE"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A7"/>
    <w:rsid w:val="00072D23"/>
    <w:rsid w:val="000C7623"/>
    <w:rsid w:val="001B5BA6"/>
    <w:rsid w:val="001C5AFC"/>
    <w:rsid w:val="002040D8"/>
    <w:rsid w:val="00233158"/>
    <w:rsid w:val="00245200"/>
    <w:rsid w:val="00246BC1"/>
    <w:rsid w:val="00274BB5"/>
    <w:rsid w:val="002D4C34"/>
    <w:rsid w:val="00304DC6"/>
    <w:rsid w:val="00403889"/>
    <w:rsid w:val="00463853"/>
    <w:rsid w:val="00480109"/>
    <w:rsid w:val="004806AD"/>
    <w:rsid w:val="004856EB"/>
    <w:rsid w:val="004C2D48"/>
    <w:rsid w:val="004D0B87"/>
    <w:rsid w:val="005345DE"/>
    <w:rsid w:val="005B2598"/>
    <w:rsid w:val="005B4511"/>
    <w:rsid w:val="005E3EB2"/>
    <w:rsid w:val="00644B47"/>
    <w:rsid w:val="006C5B24"/>
    <w:rsid w:val="006E2654"/>
    <w:rsid w:val="006F637F"/>
    <w:rsid w:val="00782F44"/>
    <w:rsid w:val="007A5710"/>
    <w:rsid w:val="00802DB0"/>
    <w:rsid w:val="008C5074"/>
    <w:rsid w:val="008E31E6"/>
    <w:rsid w:val="008F712F"/>
    <w:rsid w:val="009112D3"/>
    <w:rsid w:val="00914680"/>
    <w:rsid w:val="00914BA7"/>
    <w:rsid w:val="00976B6A"/>
    <w:rsid w:val="00977E3D"/>
    <w:rsid w:val="009A7873"/>
    <w:rsid w:val="009F0B2E"/>
    <w:rsid w:val="009F3EEE"/>
    <w:rsid w:val="00A1673F"/>
    <w:rsid w:val="00A37BF4"/>
    <w:rsid w:val="00A77EC7"/>
    <w:rsid w:val="00AF213D"/>
    <w:rsid w:val="00BD7B9F"/>
    <w:rsid w:val="00BF08CE"/>
    <w:rsid w:val="00C83603"/>
    <w:rsid w:val="00CD2461"/>
    <w:rsid w:val="00CE2E34"/>
    <w:rsid w:val="00CF4EFB"/>
    <w:rsid w:val="00D72955"/>
    <w:rsid w:val="00D760BA"/>
    <w:rsid w:val="00DC1CA0"/>
    <w:rsid w:val="00DE0B48"/>
    <w:rsid w:val="00E26CEB"/>
    <w:rsid w:val="00E326C3"/>
    <w:rsid w:val="00E45663"/>
    <w:rsid w:val="00E46C11"/>
    <w:rsid w:val="00E76FF3"/>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344FE"/>
  <w15:chartTrackingRefBased/>
  <w15:docId w15:val="{7ED806AA-CEF5-443C-9799-37A8A9EB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14BA7"/>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E26CEB"/>
    <w:pPr>
      <w:spacing w:before="200" w:after="120" w:line="240" w:lineRule="auto"/>
      <w:outlineLvl w:val="0"/>
    </w:pPr>
    <w:rPr>
      <w:rFonts w:asciiTheme="minorHAnsi" w:eastAsia="Times New Roman" w:hAnsiTheme="minorHAnsi" w:cstheme="minorBidi"/>
      <w:b/>
      <w:bCs/>
      <w:color w:val="971D20" w:themeColor="accent3"/>
      <w:kern w:val="36"/>
      <w:sz w:val="24"/>
      <w:szCs w:val="24"/>
      <w:shd w:val="clear" w:color="auto" w:fill="FFFFFF"/>
      <w:lang w:val="en-US"/>
    </w:rPr>
  </w:style>
  <w:style w:type="paragraph" w:styleId="Heading2">
    <w:name w:val="heading 2"/>
    <w:basedOn w:val="Normal"/>
    <w:next w:val="Normal"/>
    <w:link w:val="Heading2Char"/>
    <w:uiPriority w:val="9"/>
    <w:unhideWhenUsed/>
    <w:qFormat/>
    <w:rsid w:val="00E26CEB"/>
    <w:pPr>
      <w:spacing w:after="160" w:line="278" w:lineRule="auto"/>
      <w:outlineLvl w:val="1"/>
    </w:pPr>
    <w:rPr>
      <w:rFonts w:asciiTheme="minorHAnsi" w:eastAsiaTheme="minorHAnsi" w:hAnsiTheme="minorHAnsi" w:cstheme="minorBidi"/>
      <w:i/>
      <w:iCs/>
      <w:color w:val="971D20" w:themeColor="accent3"/>
      <w:kern w:val="2"/>
      <w:sz w:val="24"/>
      <w:szCs w:val="24"/>
      <w:lang w:val="en-US"/>
      <w14:ligatures w14:val="standardContextual"/>
    </w:rPr>
  </w:style>
  <w:style w:type="paragraph" w:styleId="Heading3">
    <w:name w:val="heading 3"/>
    <w:aliases w:val="Caption/Cutline/Citation"/>
    <w:basedOn w:val="Normal"/>
    <w:next w:val="Normal"/>
    <w:link w:val="Heading3Char"/>
    <w:uiPriority w:val="9"/>
    <w:unhideWhenUsed/>
    <w:qFormat/>
    <w:rsid w:val="00E26CEB"/>
    <w:pPr>
      <w:spacing w:after="160" w:line="278" w:lineRule="auto"/>
      <w:outlineLvl w:val="2"/>
    </w:pPr>
    <w:rPr>
      <w:rFonts w:asciiTheme="minorHAnsi" w:eastAsiaTheme="minorHAnsi" w:hAnsiTheme="minorHAnsi" w:cstheme="minorBidi"/>
      <w:i/>
      <w:iCs/>
      <w:kern w:val="2"/>
      <w:sz w:val="18"/>
      <w:szCs w:val="18"/>
      <w:lang w:val="en-US"/>
      <w14:ligatures w14:val="standardContextual"/>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line="278" w:lineRule="auto"/>
      <w:outlineLvl w:val="4"/>
    </w:pPr>
    <w:rPr>
      <w:rFonts w:asciiTheme="minorHAnsi" w:eastAsiaTheme="majorEastAsia" w:hAnsiTheme="minorHAnsi" w:cstheme="majorBidi"/>
      <w:color w:val="1E6792"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26CE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26CE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26CE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26CE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pPr>
      <w:spacing w:after="160" w:line="278" w:lineRule="auto"/>
    </w:pPr>
    <w:rPr>
      <w:rFonts w:asciiTheme="minorHAnsi" w:eastAsiaTheme="minorHAnsi" w:hAnsiTheme="minorHAnsi" w:cstheme="minorBidi"/>
      <w:b/>
      <w:bCs/>
      <w:caps/>
      <w:kern w:val="2"/>
      <w:sz w:val="32"/>
      <w:szCs w:val="32"/>
      <w:lang w:val="en-US"/>
      <w14:ligatures w14:val="standardContextual"/>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line="240" w:lineRule="auto"/>
      <w:jc w:val="right"/>
      <w:outlineLvl w:val="3"/>
    </w:pPr>
    <w:rPr>
      <w:rFonts w:asciiTheme="minorHAnsi" w:eastAsiaTheme="minorHAnsi" w:hAnsiTheme="minorHAnsi" w:cstheme="minorBidi"/>
      <w:b/>
      <w:bCs/>
      <w:caps/>
      <w:kern w:val="2"/>
      <w:sz w:val="24"/>
      <w:szCs w:val="24"/>
      <w:lang w:val="en-US"/>
      <w14:ligatures w14:val="standardContextual"/>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semiHidden/>
    <w:unhideWhenUsed/>
    <w:rsid w:val="00E26CE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Quote">
    <w:name w:val="Block Quote"/>
    <w:basedOn w:val="Normal"/>
    <w:qFormat/>
    <w:rsid w:val="00E26CEB"/>
    <w:pPr>
      <w:spacing w:after="160" w:line="278" w:lineRule="auto"/>
      <w:ind w:left="720"/>
    </w:pPr>
    <w:rPr>
      <w:rFonts w:asciiTheme="minorHAnsi" w:eastAsiaTheme="minorHAnsi" w:hAnsiTheme="minorHAnsi" w:cstheme="minorBidi"/>
      <w:i/>
      <w:kern w:val="2"/>
      <w:sz w:val="24"/>
      <w:szCs w:val="24"/>
      <w:lang w:val="en-US"/>
      <w14:ligatures w14:val="standardContextual"/>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line="240" w:lineRule="auto"/>
    </w:pPr>
    <w:rPr>
      <w:rFonts w:asciiTheme="minorHAnsi" w:eastAsiaTheme="minorHAnsi" w:hAnsiTheme="minorHAnsi" w:cstheme="minorBidi"/>
      <w:kern w:val="2"/>
      <w:sz w:val="24"/>
      <w:szCs w:val="24"/>
      <w:lang w:val="en-US"/>
      <w14:ligatures w14:val="standardContextual"/>
    </w:r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paragraph" w:customStyle="1" w:styleId="AnswerKey">
    <w:name w:val="Answer Key"/>
    <w:basedOn w:val="Normal"/>
    <w:qFormat/>
    <w:rsid w:val="00E26CEB"/>
    <w:pPr>
      <w:spacing w:after="160" w:line="278" w:lineRule="auto"/>
    </w:pPr>
    <w:rPr>
      <w:rFonts w:asciiTheme="minorHAnsi" w:eastAsiaTheme="minorHAnsi" w:hAnsiTheme="minorHAnsi" w:cstheme="minorBidi"/>
      <w:color w:val="D30F7F" w:themeColor="accent5"/>
      <w:kern w:val="2"/>
      <w:sz w:val="24"/>
      <w:szCs w:val="24"/>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gov/item/usrep393503/" TargetMode="External"/><Relationship Id="rId3" Type="http://schemas.openxmlformats.org/officeDocument/2006/relationships/settings" Target="settings.xml"/><Relationship Id="rId7" Type="http://schemas.openxmlformats.org/officeDocument/2006/relationships/hyperlink" Target="https://www.aclu.org/other/tinker-v-des-moines-landmark-supreme-court-ruling-behalf-student-expres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onstitutioncenter.org/blog/tinker-v-des-moines-protecting-student-free-spee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u0002\Documents\Custom%20Office%20Templates\LEARN%20Vertical%20Template.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Template>
  <TotalTime>1</TotalTime>
  <Pages>3</Pages>
  <Words>850</Words>
  <Characters>4599</Characters>
  <Application>Microsoft Office Word</Application>
  <DocSecurity>0</DocSecurity>
  <Lines>97</Lines>
  <Paragraphs>22</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5427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 Across Content Areas</dc:title>
  <dc:subject/>
  <dc:creator>K20Center@groups.ou.edu</dc:creator>
  <cp:keywords/>
  <dc:description/>
  <cp:lastModifiedBy>Lieu, Mary</cp:lastModifiedBy>
  <cp:revision>1</cp:revision>
  <dcterms:created xsi:type="dcterms:W3CDTF">2026-04-09T19:46:00Z</dcterms:created>
  <dcterms:modified xsi:type="dcterms:W3CDTF">2026-04-09T19:47:00Z</dcterms:modified>
  <cp:category/>
</cp:coreProperties>
</file>