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EB16" w14:textId="77777777" w:rsidR="00C11D2F" w:rsidRDefault="006B55C9">
      <w:pPr>
        <w:spacing w:after="240"/>
        <w:rPr>
          <w:rFonts w:ascii="Times New Roman" w:eastAsia="Times New Roman" w:hAnsi="Times New Roman" w:cs="Times New Roman"/>
        </w:rPr>
      </w:pPr>
      <w:r>
        <w:rPr>
          <w:b/>
          <w:smallCaps/>
          <w:sz w:val="32"/>
          <w:szCs w:val="32"/>
        </w:rPr>
        <w:t xml:space="preserve">CULTURE-INCLUSIVE LEARNING </w:t>
      </w:r>
    </w:p>
    <w:p w14:paraId="17A89146" w14:textId="77777777" w:rsidR="00C11D2F" w:rsidRDefault="006B55C9">
      <w:pPr>
        <w:spacing w:before="200" w:after="120"/>
        <w:rPr>
          <w:color w:val="980000"/>
        </w:rPr>
      </w:pPr>
      <w:r>
        <w:rPr>
          <w:b/>
          <w:color w:val="980000"/>
          <w:sz w:val="28"/>
          <w:szCs w:val="28"/>
          <w:highlight w:val="white"/>
        </w:rPr>
        <w:t>Introduction</w:t>
      </w:r>
    </w:p>
    <w:p w14:paraId="38D9DB95" w14:textId="77777777" w:rsidR="00C11D2F" w:rsidRDefault="006B55C9">
      <w:pPr>
        <w:spacing w:after="120"/>
      </w:pPr>
      <w:r>
        <w:t>Culture is an important consideration in the design of student-centered learning environments. How People Learn II: Learners, Contexts, and Cultures defines culture as:</w:t>
      </w:r>
    </w:p>
    <w:p w14:paraId="18C9C2F7" w14:textId="77777777" w:rsidR="00C11D2F" w:rsidRDefault="006B55C9">
      <w:pPr>
        <w:spacing w:after="120"/>
        <w:rPr>
          <w:i/>
        </w:rPr>
      </w:pPr>
      <w:r>
        <w:t xml:space="preserve"> </w:t>
      </w:r>
      <w:r>
        <w:rPr>
          <w:i/>
        </w:rPr>
        <w:t xml:space="preserve">... </w:t>
      </w:r>
      <w:proofErr w:type="spellStart"/>
      <w:r>
        <w:rPr>
          <w:i/>
        </w:rPr>
        <w:t>the</w:t>
      </w:r>
      <w:proofErr w:type="spellEnd"/>
      <w:r>
        <w:rPr>
          <w:i/>
        </w:rPr>
        <w:t xml:space="preserve"> learned behavior of a group of people that generally reflects the tradition of that people and is socially transmitted from generation to generation through social learning; it is also shaped to fit circumstances and goals. (p. 22) </w:t>
      </w:r>
    </w:p>
    <w:p w14:paraId="0F493D6C" w14:textId="77777777" w:rsidR="00C11D2F" w:rsidRDefault="006B55C9">
      <w:pPr>
        <w:spacing w:after="120"/>
      </w:pPr>
      <w:r>
        <w:t xml:space="preserve">Students come to school with diverse knowledge and experiences. The environments in which they live, including home and school, form the basis for </w:t>
      </w:r>
      <w:proofErr w:type="gramStart"/>
      <w:r>
        <w:t>all of</w:t>
      </w:r>
      <w:proofErr w:type="gramEnd"/>
      <w:r>
        <w:t xml:space="preserve"> their knowledge and future understanding. This cultural knowledge affects how people make sense of the world around them and how they turn everyday experiences into meaningful events. Studies show that students are better supported </w:t>
      </w:r>
      <w:proofErr w:type="gramStart"/>
      <w:r>
        <w:t>in</w:t>
      </w:r>
      <w:proofErr w:type="gramEnd"/>
      <w:r>
        <w:t xml:space="preserve"> taking control of their learning when teachers create an environment that recognizes cultural perspectives from outside the classroom. Some research-based insights that can help educators integrate culture into the curriculum include:</w:t>
      </w:r>
    </w:p>
    <w:p w14:paraId="07C61AD9" w14:textId="77777777" w:rsidR="00C11D2F" w:rsidRDefault="006B55C9">
      <w:pPr>
        <w:numPr>
          <w:ilvl w:val="0"/>
          <w:numId w:val="2"/>
        </w:numPr>
        <w:spacing w:line="276" w:lineRule="auto"/>
        <w:rPr>
          <w:sz w:val="22"/>
          <w:szCs w:val="22"/>
          <w:highlight w:val="white"/>
        </w:rPr>
      </w:pPr>
      <w:r>
        <w:rPr>
          <w:b/>
          <w:color w:val="980000"/>
          <w:sz w:val="22"/>
          <w:szCs w:val="22"/>
          <w:highlight w:val="white"/>
        </w:rPr>
        <w:t>Acknowledge the Cultural Nature of Learning.</w:t>
      </w:r>
      <w:r>
        <w:rPr>
          <w:b/>
          <w:color w:val="3E5C61"/>
          <w:sz w:val="22"/>
          <w:szCs w:val="22"/>
          <w:highlight w:val="white"/>
        </w:rPr>
        <w:t xml:space="preserve"> </w:t>
      </w:r>
      <w:r>
        <w:rPr>
          <w:sz w:val="22"/>
          <w:szCs w:val="22"/>
          <w:highlight w:val="white"/>
        </w:rPr>
        <w:t>Culture is a key element in how humans make sense of the world around them and turn everyday experiences into meaningful events (Gay, 2018; Hammond, 2015; NASEM, 2018). When teachers create a classroom environment that recognizes cultural perspectives from outside the classroom, students are better supported in taking control of their own learning (NASEM, 2018).</w:t>
      </w:r>
    </w:p>
    <w:p w14:paraId="5600BCAA" w14:textId="77777777" w:rsidR="00C11D2F" w:rsidRDefault="006B55C9">
      <w:pPr>
        <w:numPr>
          <w:ilvl w:val="0"/>
          <w:numId w:val="2"/>
        </w:numPr>
        <w:spacing w:before="200" w:line="276" w:lineRule="auto"/>
        <w:rPr>
          <w:sz w:val="22"/>
          <w:szCs w:val="22"/>
          <w:highlight w:val="white"/>
        </w:rPr>
      </w:pPr>
      <w:r>
        <w:rPr>
          <w:b/>
          <w:color w:val="980000"/>
          <w:sz w:val="22"/>
          <w:szCs w:val="22"/>
          <w:highlight w:val="white"/>
        </w:rPr>
        <w:t>Bridge Cultures in the Third Space.</w:t>
      </w:r>
      <w:r>
        <w:rPr>
          <w:b/>
          <w:color w:val="3E5C61"/>
          <w:sz w:val="22"/>
          <w:szCs w:val="22"/>
          <w:highlight w:val="white"/>
        </w:rPr>
        <w:t xml:space="preserve"> </w:t>
      </w:r>
      <w:r>
        <w:rPr>
          <w:sz w:val="22"/>
          <w:szCs w:val="22"/>
          <w:highlight w:val="white"/>
        </w:rPr>
        <w:t xml:space="preserve">When opposing cultures come together to exchange ideas and formulate new solutions that consider all perspectives, the experience is referred to as the third space (Bhabha, 1994). </w:t>
      </w:r>
      <w:r>
        <w:rPr>
          <w:sz w:val="22"/>
          <w:szCs w:val="22"/>
        </w:rPr>
        <w:t>In the classroom context, the first space is often considered to be the home environment and its cultural norms. The second space is the school culture and its norms and discourse patterns. The third space is envisioned as a teacher-facilitated environment of discourse and collaboration in which home and classroom concepts are re</w:t>
      </w:r>
      <w:r>
        <w:rPr>
          <w:sz w:val="22"/>
          <w:szCs w:val="22"/>
        </w:rPr>
        <w:t>organized “through the strategic arrangement of practices that result in transformation of knowledge and identity” (Laughlin, 2020, p. 23). In this third space, students’ interest connects their world to the classroom through perso</w:t>
      </w:r>
      <w:r>
        <w:rPr>
          <w:sz w:val="22"/>
          <w:szCs w:val="22"/>
          <w:highlight w:val="white"/>
        </w:rPr>
        <w:t>nal relevance, long-term understanding, and enhanced learning (</w:t>
      </w:r>
      <w:proofErr w:type="spellStart"/>
      <w:r>
        <w:rPr>
          <w:sz w:val="22"/>
          <w:szCs w:val="22"/>
          <w:highlight w:val="white"/>
        </w:rPr>
        <w:t>Kuhlthau</w:t>
      </w:r>
      <w:proofErr w:type="spellEnd"/>
      <w:r>
        <w:rPr>
          <w:sz w:val="22"/>
          <w:szCs w:val="22"/>
          <w:highlight w:val="white"/>
        </w:rPr>
        <w:t xml:space="preserve"> et al., 2015).</w:t>
      </w:r>
    </w:p>
    <w:p w14:paraId="7552AAAF" w14:textId="77777777" w:rsidR="00C11D2F" w:rsidRDefault="006B55C9">
      <w:pPr>
        <w:numPr>
          <w:ilvl w:val="0"/>
          <w:numId w:val="2"/>
        </w:numPr>
        <w:spacing w:before="200" w:line="276" w:lineRule="auto"/>
        <w:rPr>
          <w:sz w:val="22"/>
          <w:szCs w:val="22"/>
          <w:highlight w:val="white"/>
        </w:rPr>
      </w:pPr>
      <w:r>
        <w:rPr>
          <w:b/>
          <w:color w:val="980000"/>
          <w:sz w:val="22"/>
          <w:szCs w:val="22"/>
          <w:highlight w:val="white"/>
        </w:rPr>
        <w:t>Practice Culturally Responsive Teaching.</w:t>
      </w:r>
      <w:r>
        <w:rPr>
          <w:b/>
          <w:color w:val="3E5C61"/>
          <w:sz w:val="22"/>
          <w:szCs w:val="22"/>
          <w:highlight w:val="white"/>
        </w:rPr>
        <w:t xml:space="preserve"> </w:t>
      </w:r>
      <w:r>
        <w:rPr>
          <w:sz w:val="22"/>
          <w:szCs w:val="22"/>
          <w:highlight w:val="white"/>
        </w:rPr>
        <w:t>A key characteristic of culturally responsive teaching is that it emphasizes what students can do rather than what they cannot. Students’ cultural knowledge serves as a tool to enrich classroom instruction and provide students with a sense of identity (Esteban-Guitart &amp; Moll, 2014; Gay, 2004). Culturally responsive teaching showed favorable academic results in multiple studies. For example, Byrd (2016) found in a study of 315 secondary students that the use of culturally relevant teaching practices was ass</w:t>
      </w:r>
      <w:r>
        <w:rPr>
          <w:sz w:val="22"/>
          <w:szCs w:val="22"/>
          <w:highlight w:val="white"/>
        </w:rPr>
        <w:t xml:space="preserve">ociated with greater interest in school, increased exploration of racial and ethnic identity, and higher grades. Other studies suggest that among students of color, culturally responsive teaching leads to </w:t>
      </w:r>
      <w:r>
        <w:rPr>
          <w:sz w:val="22"/>
          <w:szCs w:val="22"/>
          <w:highlight w:val="white"/>
        </w:rPr>
        <w:lastRenderedPageBreak/>
        <w:t>higher achievement (Dee &amp; Penner, 2017; Wah &amp; Nasri, 2019; Wiggan &amp; Watson, 2016) and graduation rates (Howard &amp; Terry, 2011).</w:t>
      </w:r>
    </w:p>
    <w:p w14:paraId="7F6AEF1C" w14:textId="77777777" w:rsidR="00C11D2F" w:rsidRDefault="006B55C9">
      <w:pPr>
        <w:spacing w:line="276" w:lineRule="auto"/>
        <w:rPr>
          <w:sz w:val="22"/>
          <w:szCs w:val="22"/>
          <w:highlight w:val="white"/>
        </w:rPr>
      </w:pPr>
      <w:r>
        <w:rPr>
          <w:sz w:val="22"/>
          <w:szCs w:val="22"/>
          <w:highlight w:val="white"/>
        </w:rPr>
        <w:t xml:space="preserve"> </w:t>
      </w:r>
    </w:p>
    <w:p w14:paraId="446408F9" w14:textId="77777777" w:rsidR="00C11D2F" w:rsidRDefault="006B55C9">
      <w:pPr>
        <w:spacing w:line="276" w:lineRule="auto"/>
        <w:ind w:left="720"/>
        <w:rPr>
          <w:rFonts w:ascii="Times New Roman" w:eastAsia="Times New Roman" w:hAnsi="Times New Roman" w:cs="Times New Roman"/>
        </w:rPr>
      </w:pPr>
      <w:r>
        <w:rPr>
          <w:sz w:val="22"/>
          <w:szCs w:val="22"/>
          <w:highlight w:val="white"/>
        </w:rPr>
        <w:t>Teachers report that they are motivated to teach responsively for the sake of their students (Bonner et al., 2018). Studies reveal, however, that teachers’ effectiveness varies for this type of instruction depending on context (Kelly et al., 2021), diversity beliefs, and level of self-reflection (Civitillo et al., 2019). Among student populations with high diversity, culturally responsive teaching had positive effects on student achievement beyond standardized testing (Aronson and Laughter 2016). Benefits i</w:t>
      </w:r>
      <w:r>
        <w:rPr>
          <w:sz w:val="22"/>
          <w:szCs w:val="22"/>
          <w:highlight w:val="white"/>
        </w:rPr>
        <w:t>ncluded increases in students’ motivation, interest in content, ability to engage in classroom conversation, perceptions of their own abilities, and confidence in taking standardized tests.</w:t>
      </w:r>
    </w:p>
    <w:p w14:paraId="4CB8FF6A" w14:textId="77777777" w:rsidR="00C11D2F" w:rsidRDefault="006B55C9">
      <w:pPr>
        <w:spacing w:before="200" w:after="120"/>
        <w:rPr>
          <w:rFonts w:ascii="Times New Roman" w:eastAsia="Times New Roman" w:hAnsi="Times New Roman" w:cs="Times New Roman"/>
          <w:b/>
          <w:color w:val="980000"/>
          <w:sz w:val="48"/>
          <w:szCs w:val="48"/>
        </w:rPr>
      </w:pPr>
      <w:r>
        <w:rPr>
          <w:b/>
          <w:color w:val="980000"/>
          <w:highlight w:val="white"/>
        </w:rPr>
        <w:t xml:space="preserve">Recommendations for Culture Inclusive-Learning </w:t>
      </w:r>
    </w:p>
    <w:p w14:paraId="702B5FDE" w14:textId="77777777" w:rsidR="00C11D2F" w:rsidRDefault="006B55C9">
      <w:pPr>
        <w:numPr>
          <w:ilvl w:val="0"/>
          <w:numId w:val="1"/>
        </w:numPr>
        <w:spacing w:line="276" w:lineRule="auto"/>
        <w:rPr>
          <w:sz w:val="22"/>
          <w:szCs w:val="22"/>
          <w:highlight w:val="white"/>
        </w:rPr>
      </w:pPr>
      <w:r>
        <w:rPr>
          <w:sz w:val="22"/>
          <w:szCs w:val="22"/>
          <w:highlight w:val="white"/>
        </w:rPr>
        <w:t>Teachers should teach from an asset-based, rather than deficit-based, perspective to promote student wellbeing (Flint &amp; Jaggers, 2021; Lopez, 2017).</w:t>
      </w:r>
    </w:p>
    <w:p w14:paraId="4B09CA19" w14:textId="77777777" w:rsidR="00C11D2F" w:rsidRDefault="006B55C9">
      <w:pPr>
        <w:numPr>
          <w:ilvl w:val="0"/>
          <w:numId w:val="1"/>
        </w:numPr>
        <w:spacing w:line="276" w:lineRule="auto"/>
        <w:rPr>
          <w:sz w:val="22"/>
          <w:szCs w:val="22"/>
          <w:highlight w:val="white"/>
        </w:rPr>
      </w:pPr>
      <w:r>
        <w:rPr>
          <w:sz w:val="22"/>
          <w:szCs w:val="22"/>
          <w:highlight w:val="white"/>
        </w:rPr>
        <w:t>Teachers should get to know their students and learn about their backgrounds (Byrd, 2016; Kelley et al., 2015; Tanase, 2022).</w:t>
      </w:r>
    </w:p>
    <w:p w14:paraId="519B0410" w14:textId="77777777" w:rsidR="00C11D2F" w:rsidRDefault="006B55C9">
      <w:pPr>
        <w:numPr>
          <w:ilvl w:val="0"/>
          <w:numId w:val="1"/>
        </w:numPr>
        <w:spacing w:line="276" w:lineRule="auto"/>
        <w:rPr>
          <w:sz w:val="22"/>
          <w:szCs w:val="22"/>
          <w:highlight w:val="white"/>
        </w:rPr>
      </w:pPr>
      <w:r>
        <w:rPr>
          <w:sz w:val="22"/>
          <w:szCs w:val="22"/>
          <w:highlight w:val="white"/>
        </w:rPr>
        <w:t>Teachers should identify and acknowledge biases to maintain high expectations and help identify student strengths (Esteban-Guitart &amp; Moll, 2014; Hammond, 2015; Kieran &amp; Anderson, 2019).</w:t>
      </w:r>
    </w:p>
    <w:p w14:paraId="42F7B1A1" w14:textId="77777777" w:rsidR="00C11D2F" w:rsidRDefault="006B55C9">
      <w:pPr>
        <w:numPr>
          <w:ilvl w:val="0"/>
          <w:numId w:val="1"/>
        </w:numPr>
        <w:spacing w:line="276" w:lineRule="auto"/>
        <w:rPr>
          <w:sz w:val="22"/>
          <w:szCs w:val="22"/>
          <w:highlight w:val="white"/>
        </w:rPr>
      </w:pPr>
      <w:r>
        <w:rPr>
          <w:sz w:val="22"/>
          <w:szCs w:val="22"/>
          <w:highlight w:val="white"/>
        </w:rPr>
        <w:t>Teachers should provide students with choices in the products they generate and the tools they use (Tanase, 2022; Bonner et al., 2018).</w:t>
      </w:r>
    </w:p>
    <w:p w14:paraId="336642D5" w14:textId="77777777" w:rsidR="00C11D2F" w:rsidRDefault="006B55C9">
      <w:pPr>
        <w:numPr>
          <w:ilvl w:val="0"/>
          <w:numId w:val="1"/>
        </w:numPr>
        <w:spacing w:line="276" w:lineRule="auto"/>
        <w:rPr>
          <w:sz w:val="22"/>
          <w:szCs w:val="22"/>
          <w:highlight w:val="white"/>
        </w:rPr>
      </w:pPr>
      <w:r>
        <w:rPr>
          <w:sz w:val="22"/>
          <w:szCs w:val="22"/>
          <w:highlight w:val="white"/>
        </w:rPr>
        <w:t>Teachers should teach cultural diversity, even when the class is not diverse (Byrd, 2016).</w:t>
      </w:r>
    </w:p>
    <w:p w14:paraId="751EBAF2" w14:textId="77777777" w:rsidR="00C11D2F" w:rsidRDefault="006B55C9">
      <w:pPr>
        <w:numPr>
          <w:ilvl w:val="0"/>
          <w:numId w:val="1"/>
        </w:numPr>
        <w:spacing w:line="276" w:lineRule="auto"/>
        <w:rPr>
          <w:sz w:val="22"/>
          <w:szCs w:val="22"/>
          <w:highlight w:val="white"/>
        </w:rPr>
      </w:pPr>
      <w:r>
        <w:rPr>
          <w:sz w:val="22"/>
          <w:szCs w:val="22"/>
          <w:highlight w:val="white"/>
        </w:rPr>
        <w:t>Teachers should encourage appreciation for diversity as well as acknowledge inequity (Byrd, 2016; Ladson-Billings, 1995).</w:t>
      </w:r>
    </w:p>
    <w:p w14:paraId="36F6C063" w14:textId="77777777" w:rsidR="00C11D2F" w:rsidRDefault="00C11D2F">
      <w:pPr>
        <w:rPr>
          <w:rFonts w:ascii="Times New Roman" w:eastAsia="Times New Roman" w:hAnsi="Times New Roman" w:cs="Times New Roman"/>
        </w:rPr>
      </w:pPr>
    </w:p>
    <w:p w14:paraId="333F7427" w14:textId="77777777" w:rsidR="00C11D2F" w:rsidRDefault="006B55C9">
      <w:pPr>
        <w:spacing w:after="120"/>
        <w:rPr>
          <w:rFonts w:ascii="Times New Roman" w:eastAsia="Times New Roman" w:hAnsi="Times New Roman" w:cs="Times New Roman"/>
          <w:b/>
          <w:color w:val="980000"/>
          <w:sz w:val="30"/>
          <w:szCs w:val="30"/>
        </w:rPr>
      </w:pPr>
      <w:r>
        <w:rPr>
          <w:b/>
          <w:color w:val="980000"/>
        </w:rPr>
        <w:t xml:space="preserve">Conclusion </w:t>
      </w:r>
    </w:p>
    <w:p w14:paraId="2457BC02" w14:textId="77777777" w:rsidR="00C11D2F" w:rsidRDefault="006B55C9">
      <w:r>
        <w:t>Research reveals that the world beyond school matters as much as the world of the dominant culture. Students are at an academic disadvantage when they are not encouraged to engage their own prior knowledge to build new knowledge in the classroom (Bonner et al., 2018; Wah &amp; Nasri, 2019). One way to counter the disconnect between the home culture of students and school culture is to bring culturally relevant experience to students (Tanase, 2022; Dee &amp; Penner, 2017; Byrd, 2016). Integrating students’ culture a</w:t>
      </w:r>
      <w:r>
        <w:t>nd cultural identity into the curriculum not only taps into a deep well of prior knowledge but has proven to provide relevance as well as motivation to learn. Culturally relevant curriculum is a bridge between the community, the school, and the world at large (Gregory, 2012).</w:t>
      </w:r>
    </w:p>
    <w:p w14:paraId="54D46946" w14:textId="77777777" w:rsidR="00C11D2F" w:rsidRDefault="00C11D2F">
      <w:pPr>
        <w:spacing w:line="276" w:lineRule="auto"/>
        <w:ind w:left="720"/>
        <w:rPr>
          <w:b/>
          <w:i/>
          <w:color w:val="980000"/>
          <w:sz w:val="18"/>
          <w:szCs w:val="18"/>
        </w:rPr>
      </w:pPr>
    </w:p>
    <w:p w14:paraId="73D78662" w14:textId="77777777" w:rsidR="00C11D2F" w:rsidRDefault="006B55C9">
      <w:pPr>
        <w:spacing w:line="276" w:lineRule="auto"/>
        <w:rPr>
          <w:b/>
          <w:i/>
          <w:color w:val="980000"/>
          <w:sz w:val="18"/>
          <w:szCs w:val="18"/>
        </w:rPr>
      </w:pPr>
      <w:r>
        <w:rPr>
          <w:b/>
          <w:i/>
          <w:color w:val="980000"/>
          <w:sz w:val="18"/>
          <w:szCs w:val="18"/>
        </w:rPr>
        <w:t xml:space="preserve">Adapted from: </w:t>
      </w:r>
    </w:p>
    <w:p w14:paraId="2E4B4348" w14:textId="77777777" w:rsidR="00C11D2F" w:rsidRDefault="006B55C9">
      <w:pPr>
        <w:spacing w:line="276" w:lineRule="auto"/>
        <w:ind w:left="720" w:hanging="720"/>
        <w:rPr>
          <w:sz w:val="18"/>
          <w:szCs w:val="18"/>
        </w:rPr>
      </w:pPr>
      <w:r>
        <w:rPr>
          <w:sz w:val="18"/>
          <w:szCs w:val="18"/>
        </w:rPr>
        <w:t xml:space="preserve">K20 Center for Educational and Community Renewal - Research brief. K20 Center for Educational and Community Renewal - Research Brief. (n.d.). </w:t>
      </w:r>
      <w:hyperlink r:id="rId8">
        <w:r>
          <w:rPr>
            <w:color w:val="1155CC"/>
            <w:sz w:val="18"/>
            <w:szCs w:val="18"/>
            <w:u w:val="single"/>
          </w:rPr>
          <w:t>https://sites.google.com/ou.edu/native-curriculum/research-brief?authuser=0</w:t>
        </w:r>
      </w:hyperlink>
      <w:r>
        <w:rPr>
          <w:sz w:val="18"/>
          <w:szCs w:val="18"/>
        </w:rPr>
        <w:t xml:space="preserve">  </w:t>
      </w:r>
    </w:p>
    <w:p w14:paraId="1860E75E" w14:textId="77777777" w:rsidR="00C11D2F" w:rsidRDefault="00C11D2F">
      <w:pPr>
        <w:spacing w:line="276" w:lineRule="auto"/>
        <w:ind w:left="720" w:hanging="720"/>
        <w:rPr>
          <w:sz w:val="18"/>
          <w:szCs w:val="18"/>
        </w:rPr>
      </w:pPr>
    </w:p>
    <w:sectPr w:rsidR="00C11D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E676" w14:textId="77777777" w:rsidR="006B55C9" w:rsidRDefault="006B55C9">
      <w:r>
        <w:separator/>
      </w:r>
    </w:p>
  </w:endnote>
  <w:endnote w:type="continuationSeparator" w:id="0">
    <w:p w14:paraId="58A54680" w14:textId="77777777" w:rsidR="006B55C9" w:rsidRDefault="006B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80F2" w14:textId="77777777" w:rsidR="00C11D2F" w:rsidRDefault="00C11D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FFDC" w14:textId="77777777" w:rsidR="00C11D2F" w:rsidRDefault="006B55C9">
    <w:pPr>
      <w:pBdr>
        <w:top w:val="nil"/>
        <w:left w:val="nil"/>
        <w:bottom w:val="nil"/>
        <w:right w:val="nil"/>
        <w:between w:val="nil"/>
      </w:pBdr>
      <w:tabs>
        <w:tab w:val="center" w:pos="4680"/>
        <w:tab w:val="right" w:pos="9360"/>
      </w:tabs>
      <w:jc w:val="center"/>
      <w:rPr>
        <w:b/>
        <w:color w:val="000000"/>
      </w:rPr>
    </w:pPr>
    <w:r>
      <w:rPr>
        <w:b/>
      </w:rPr>
      <w:t xml:space="preserve">                                                                          EDUCATING WITH PERSPECTIVE </w:t>
    </w:r>
    <w:r>
      <w:rPr>
        <w:noProof/>
      </w:rPr>
      <w:drawing>
        <wp:anchor distT="0" distB="0" distL="0" distR="0" simplePos="0" relativeHeight="251658240" behindDoc="1" locked="0" layoutInCell="1" hidden="0" allowOverlap="1" wp14:anchorId="3ADBDB52" wp14:editId="1F79A1EC">
          <wp:simplePos x="0" y="0"/>
          <wp:positionH relativeFrom="column">
            <wp:posOffset>1371600</wp:posOffset>
          </wp:positionH>
          <wp:positionV relativeFrom="paragraph">
            <wp:posOffset>0</wp:posOffset>
          </wp:positionV>
          <wp:extent cx="4572000" cy="316865"/>
          <wp:effectExtent l="0" t="0" r="0" b="0"/>
          <wp:wrapNone/>
          <wp:docPr id="20606189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4764" w14:textId="77777777" w:rsidR="00C11D2F" w:rsidRDefault="00C11D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882BB" w14:textId="77777777" w:rsidR="006B55C9" w:rsidRDefault="006B55C9">
      <w:r>
        <w:separator/>
      </w:r>
    </w:p>
  </w:footnote>
  <w:footnote w:type="continuationSeparator" w:id="0">
    <w:p w14:paraId="0B41675C" w14:textId="77777777" w:rsidR="006B55C9" w:rsidRDefault="006B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B321" w14:textId="77777777" w:rsidR="00C11D2F" w:rsidRDefault="00C11D2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EF1E" w14:textId="77777777" w:rsidR="00C11D2F" w:rsidRDefault="00C11D2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6568" w14:textId="77777777" w:rsidR="00C11D2F" w:rsidRDefault="00C11D2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0F4"/>
    <w:multiLevelType w:val="multilevel"/>
    <w:tmpl w:val="CC1CD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05733F"/>
    <w:multiLevelType w:val="multilevel"/>
    <w:tmpl w:val="FD72C334"/>
    <w:lvl w:ilvl="0">
      <w:start w:val="1"/>
      <w:numFmt w:val="decimal"/>
      <w:lvlText w:val="%1."/>
      <w:lvlJc w:val="left"/>
      <w:pPr>
        <w:ind w:left="720" w:hanging="360"/>
      </w:pPr>
      <w:rPr>
        <w:rFonts w:ascii="Arial" w:eastAsia="Arial" w:hAnsi="Arial" w:cs="Arial"/>
        <w:b/>
        <w:color w:val="30316C"/>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9086937">
    <w:abstractNumId w:val="0"/>
  </w:num>
  <w:num w:numId="2" w16cid:durableId="1225681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2F"/>
    <w:rsid w:val="006B55C9"/>
    <w:rsid w:val="00756BAF"/>
    <w:rsid w:val="00C1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B6CAB"/>
  <w15:docId w15:val="{5D64A2BA-88C6-4892-BC66-BFF00D1A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053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07053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07053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07053B"/>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semiHidden/>
    <w:unhideWhenUsed/>
    <w:qFormat/>
    <w:rsid w:val="0007053B"/>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semiHidden/>
    <w:unhideWhenUsed/>
    <w:qFormat/>
    <w:rsid w:val="0007053B"/>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11617"/>
    <w:pPr>
      <w:tabs>
        <w:tab w:val="center" w:pos="4680"/>
        <w:tab w:val="right" w:pos="9360"/>
      </w:tabs>
    </w:pPr>
  </w:style>
  <w:style w:type="character" w:customStyle="1" w:styleId="HeaderChar">
    <w:name w:val="Header Char"/>
    <w:basedOn w:val="DefaultParagraphFont"/>
    <w:link w:val="Header"/>
    <w:uiPriority w:val="99"/>
    <w:rsid w:val="00C11617"/>
  </w:style>
  <w:style w:type="paragraph" w:styleId="Footer">
    <w:name w:val="footer"/>
    <w:basedOn w:val="Normal"/>
    <w:link w:val="FooterChar"/>
    <w:uiPriority w:val="99"/>
    <w:unhideWhenUsed/>
    <w:rsid w:val="00C11617"/>
    <w:pPr>
      <w:tabs>
        <w:tab w:val="center" w:pos="4680"/>
        <w:tab w:val="right" w:pos="9360"/>
      </w:tabs>
    </w:pPr>
  </w:style>
  <w:style w:type="character" w:customStyle="1" w:styleId="FooterChar">
    <w:name w:val="Footer Char"/>
    <w:basedOn w:val="DefaultParagraphFont"/>
    <w:link w:val="Footer"/>
    <w:uiPriority w:val="99"/>
    <w:rsid w:val="00C11617"/>
  </w:style>
  <w:style w:type="character" w:customStyle="1" w:styleId="Heading1Char">
    <w:name w:val="Heading 1 Char"/>
    <w:basedOn w:val="DefaultParagraphFont"/>
    <w:link w:val="Heading1"/>
    <w:uiPriority w:val="9"/>
    <w:rsid w:val="000705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053B"/>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07053B"/>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07053B"/>
    <w:rPr>
      <w:rFonts w:ascii="Times New Roman" w:eastAsia="Times New Roman" w:hAnsi="Times New Roman" w:cs="Times New Roman"/>
      <w:b/>
      <w:bCs/>
      <w:kern w:val="0"/>
    </w:rPr>
  </w:style>
  <w:style w:type="character" w:customStyle="1" w:styleId="Heading5Char">
    <w:name w:val="Heading 5 Char"/>
    <w:basedOn w:val="DefaultParagraphFont"/>
    <w:link w:val="Heading5"/>
    <w:uiPriority w:val="9"/>
    <w:rsid w:val="0007053B"/>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07053B"/>
    <w:rPr>
      <w:rFonts w:ascii="Times New Roman" w:eastAsia="Times New Roman" w:hAnsi="Times New Roman" w:cs="Times New Roman"/>
      <w:b/>
      <w:bCs/>
      <w:kern w:val="0"/>
      <w:sz w:val="15"/>
      <w:szCs w:val="15"/>
    </w:rPr>
  </w:style>
  <w:style w:type="paragraph" w:styleId="NormalWeb">
    <w:name w:val="Normal (Web)"/>
    <w:basedOn w:val="Normal"/>
    <w:uiPriority w:val="99"/>
    <w:semiHidden/>
    <w:unhideWhenUsed/>
    <w:rsid w:val="0007053B"/>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ites.google.com/ou.edu/native-curriculum/research-brief?authuser=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RQQIfiCwUn2TVQ+bE5fXN2qYOA==">CgMxLjA4AHIhMWsxTGhhbDQtX1F5SHg5ZWU2VnNrdGlKbmlLRlhVdWla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5076</Characters>
  <Application>Microsoft Office Word</Application>
  <DocSecurity>0</DocSecurity>
  <Lines>78</Lines>
  <Paragraphs>23</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Shogren, Caitlin E.</dc:creator>
  <cp:lastModifiedBy>Bracken, Pam</cp:lastModifiedBy>
  <cp:revision>2</cp:revision>
  <dcterms:created xsi:type="dcterms:W3CDTF">2025-03-25T18:19:00Z</dcterms:created>
  <dcterms:modified xsi:type="dcterms:W3CDTF">2025-03-25T18:19:00Z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dfb1fe6bdb2e553358ef8e825d7f13879b72de0d528252ffe657b9f4489b7626</vt:lpwstr>
  </property>
</Properties>
</file>