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AE6D" w14:textId="2C730A1D" w:rsidR="00BD5498" w:rsidRPr="008D4E5F" w:rsidRDefault="00FA45EA">
      <w:pPr>
        <w:pStyle w:val="Title"/>
      </w:pPr>
      <w:r w:rsidRPr="008D4E5F">
        <w:t>EXPERIENTIAL LEARNING AND CAREER EXPLORATION</w:t>
      </w:r>
    </w:p>
    <w:p w14:paraId="30FC100E" w14:textId="08CACF4B" w:rsidR="00FA45EA" w:rsidRPr="008D4E5F" w:rsidRDefault="00FA45EA" w:rsidP="0052375A">
      <w:pPr>
        <w:spacing w:after="0" w:line="480" w:lineRule="auto"/>
        <w:ind w:firstLine="720"/>
        <w:rPr>
          <w:rFonts w:eastAsia="Times New Roman"/>
        </w:rPr>
      </w:pPr>
      <w:r w:rsidRPr="008D4E5F">
        <w:rPr>
          <w:rFonts w:eastAsia="Times New Roman"/>
          <w:color w:val="000000"/>
        </w:rPr>
        <w:t xml:space="preserve">When schools provide opportunities for students to explore careers during the secondary years, students are more likely to make better decisions about the careers they choose to pursue after high school. Additionally, student engagement is </w:t>
      </w:r>
      <w:r w:rsidR="0052375A" w:rsidRPr="008D4E5F">
        <w:rPr>
          <w:rFonts w:eastAsia="Times New Roman"/>
          <w:color w:val="000000"/>
        </w:rPr>
        <w:t>increased,</w:t>
      </w:r>
      <w:r w:rsidRPr="008D4E5F">
        <w:rPr>
          <w:rFonts w:eastAsia="Times New Roman"/>
          <w:color w:val="000000"/>
        </w:rPr>
        <w:t xml:space="preserve"> and graduation rates improve when students are given time to learn about careers (Godbey &amp; Gordon, 2019; James, 2024; Kim &amp; Lee, 2023). </w:t>
      </w:r>
    </w:p>
    <w:p w14:paraId="5100C95E" w14:textId="77777777" w:rsidR="00FA45EA" w:rsidRPr="008D4E5F" w:rsidRDefault="00FA45EA" w:rsidP="0052375A">
      <w:pPr>
        <w:spacing w:after="0" w:line="480" w:lineRule="auto"/>
        <w:ind w:firstLine="720"/>
        <w:rPr>
          <w:rFonts w:eastAsia="Times New Roman"/>
        </w:rPr>
      </w:pPr>
      <w:r w:rsidRPr="008D4E5F">
        <w:rPr>
          <w:rFonts w:eastAsia="Times New Roman"/>
          <w:color w:val="000000"/>
        </w:rPr>
        <w:t>Preschool and elementary-aged students typically acquire ideas about which careers might fit their interests from a small pool of information and judge their ideas about careers from common misconceptions (Masters &amp; Barth, 2022). To overcome this, early education centered around career exploration is needed (Ginerva et al., 2024). This ensures that students comprehend a wide range of potential career pathways and possibilities (Cinamon &amp; Yeshayahu, 2021).</w:t>
      </w:r>
    </w:p>
    <w:p w14:paraId="263A04A6" w14:textId="77777777" w:rsidR="00FA45EA" w:rsidRPr="008D4E5F" w:rsidRDefault="00FA45EA" w:rsidP="0052375A">
      <w:pPr>
        <w:spacing w:after="0" w:line="480" w:lineRule="auto"/>
        <w:ind w:firstLine="720"/>
        <w:rPr>
          <w:rFonts w:eastAsia="Times New Roman"/>
        </w:rPr>
      </w:pPr>
      <w:r w:rsidRPr="008D4E5F">
        <w:rPr>
          <w:rFonts w:eastAsia="Times New Roman"/>
          <w:color w:val="000000"/>
        </w:rPr>
        <w:t xml:space="preserve">When developing a career education program, it should include a variety of career interests and outcomes that allow students to determine their potential vocational strengths and talents (Ginerva et al., 2024; James, 2024; Kim &amp; Lee, 2023). To create genuine connections about career possibilities, career exploration should incorporate activities that engage students in hands-on learning. Students are more likely to retain information about potential careers when they participate in hands-on activities that mimic the work of career professionals to the greatest extent possible (Godbey &amp; Gordon, 2019; </w:t>
      </w:r>
      <w:proofErr w:type="spellStart"/>
      <w:r w:rsidRPr="008D4E5F">
        <w:rPr>
          <w:rFonts w:eastAsia="Times New Roman"/>
          <w:color w:val="000000"/>
        </w:rPr>
        <w:t>Groth</w:t>
      </w:r>
      <w:proofErr w:type="spellEnd"/>
      <w:r w:rsidRPr="008D4E5F">
        <w:rPr>
          <w:rFonts w:eastAsia="Times New Roman"/>
          <w:color w:val="000000"/>
        </w:rPr>
        <w:t xml:space="preserve">, 2024; Oliveira &amp; Araújo, 2022; </w:t>
      </w:r>
      <w:proofErr w:type="spellStart"/>
      <w:r w:rsidRPr="008D4E5F">
        <w:rPr>
          <w:rFonts w:eastAsia="Times New Roman"/>
          <w:color w:val="000000"/>
        </w:rPr>
        <w:t>Turnlund</w:t>
      </w:r>
      <w:proofErr w:type="spellEnd"/>
      <w:r w:rsidRPr="008D4E5F">
        <w:rPr>
          <w:rFonts w:eastAsia="Times New Roman"/>
          <w:color w:val="000000"/>
        </w:rPr>
        <w:t>, 2019). By exploring job-specific tools or practicing job-related tasks, students find out what careers they are interested in learning more about and discover what they are not interested in pursuing (</w:t>
      </w:r>
      <w:proofErr w:type="spellStart"/>
      <w:r w:rsidRPr="008D4E5F">
        <w:rPr>
          <w:rFonts w:eastAsia="Times New Roman"/>
          <w:color w:val="000000"/>
        </w:rPr>
        <w:t>Turnlund</w:t>
      </w:r>
      <w:proofErr w:type="spellEnd"/>
      <w:r w:rsidRPr="008D4E5F">
        <w:rPr>
          <w:rFonts w:eastAsia="Times New Roman"/>
          <w:color w:val="000000"/>
        </w:rPr>
        <w:t>, 2019).  </w:t>
      </w:r>
    </w:p>
    <w:p w14:paraId="1AD1248E"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lastRenderedPageBreak/>
        <w:t xml:space="preserve">Cinamon, R. G., &amp; Yeshayahu, M. (2021). Children’s occupational knowledge: A conceptual framework and measure. </w:t>
      </w:r>
      <w:r w:rsidRPr="008D4E5F">
        <w:rPr>
          <w:rFonts w:eastAsia="Times New Roman"/>
          <w:i/>
          <w:iCs/>
          <w:color w:val="000000"/>
          <w:sz w:val="18"/>
          <w:szCs w:val="18"/>
        </w:rPr>
        <w:t>International Journal for Educational and Vocational Guidance</w:t>
      </w:r>
      <w:r w:rsidRPr="008D4E5F">
        <w:rPr>
          <w:rFonts w:eastAsia="Times New Roman"/>
          <w:color w:val="000000"/>
          <w:sz w:val="18"/>
          <w:szCs w:val="18"/>
        </w:rPr>
        <w:t xml:space="preserve">, </w:t>
      </w:r>
      <w:r w:rsidRPr="008D4E5F">
        <w:rPr>
          <w:rFonts w:eastAsia="Times New Roman"/>
          <w:i/>
          <w:iCs/>
          <w:color w:val="000000"/>
          <w:sz w:val="18"/>
          <w:szCs w:val="18"/>
        </w:rPr>
        <w:t>21</w:t>
      </w:r>
      <w:r w:rsidRPr="008D4E5F">
        <w:rPr>
          <w:rFonts w:eastAsia="Times New Roman"/>
          <w:color w:val="000000"/>
          <w:sz w:val="18"/>
          <w:szCs w:val="18"/>
        </w:rPr>
        <w:t xml:space="preserve">, 15–31. </w:t>
      </w:r>
      <w:hyperlink r:id="rId7" w:history="1">
        <w:r w:rsidRPr="008D4E5F">
          <w:rPr>
            <w:rFonts w:eastAsia="Times New Roman"/>
            <w:color w:val="467886"/>
            <w:sz w:val="18"/>
            <w:szCs w:val="18"/>
            <w:u w:val="single"/>
          </w:rPr>
          <w:t>https://doi.org/10.1007/s10775-020-09425-4</w:t>
        </w:r>
      </w:hyperlink>
      <w:r w:rsidRPr="008D4E5F">
        <w:rPr>
          <w:rFonts w:eastAsia="Times New Roman"/>
          <w:color w:val="000000"/>
          <w:sz w:val="18"/>
          <w:szCs w:val="18"/>
        </w:rPr>
        <w:t>  </w:t>
      </w:r>
    </w:p>
    <w:p w14:paraId="647423AA" w14:textId="77777777" w:rsidR="00FA45EA" w:rsidRPr="008D4E5F" w:rsidRDefault="00FA45EA" w:rsidP="008D4E5F">
      <w:pPr>
        <w:spacing w:after="0" w:line="240" w:lineRule="auto"/>
        <w:ind w:left="720"/>
        <w:rPr>
          <w:rFonts w:eastAsia="Times New Roman"/>
          <w:sz w:val="18"/>
          <w:szCs w:val="18"/>
        </w:rPr>
      </w:pPr>
    </w:p>
    <w:p w14:paraId="568926EB"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t xml:space="preserve">Ginevra, M. C., Santilli, S., Hartung, P. J., &amp; Nota, L. (2024). A career education program for early childhood youth: Development and initial evaluation. </w:t>
      </w:r>
      <w:r w:rsidRPr="008D4E5F">
        <w:rPr>
          <w:rFonts w:eastAsia="Times New Roman"/>
          <w:i/>
          <w:iCs/>
          <w:color w:val="000000"/>
          <w:sz w:val="18"/>
          <w:szCs w:val="18"/>
        </w:rPr>
        <w:t>The Career Development Quarterly</w:t>
      </w:r>
      <w:r w:rsidRPr="008D4E5F">
        <w:rPr>
          <w:rFonts w:eastAsia="Times New Roman"/>
          <w:color w:val="000000"/>
          <w:sz w:val="18"/>
          <w:szCs w:val="18"/>
        </w:rPr>
        <w:t xml:space="preserve">, </w:t>
      </w:r>
      <w:r w:rsidRPr="008D4E5F">
        <w:rPr>
          <w:rFonts w:eastAsia="Times New Roman"/>
          <w:i/>
          <w:iCs/>
          <w:color w:val="000000"/>
          <w:sz w:val="18"/>
          <w:szCs w:val="18"/>
        </w:rPr>
        <w:t>72</w:t>
      </w:r>
      <w:r w:rsidRPr="008D4E5F">
        <w:rPr>
          <w:rFonts w:eastAsia="Times New Roman"/>
          <w:color w:val="000000"/>
          <w:sz w:val="18"/>
          <w:szCs w:val="18"/>
        </w:rPr>
        <w:t xml:space="preserve">(2), 78–92. </w:t>
      </w:r>
      <w:hyperlink r:id="rId8" w:history="1">
        <w:r w:rsidRPr="008D4E5F">
          <w:rPr>
            <w:rFonts w:eastAsia="Times New Roman"/>
            <w:color w:val="467886"/>
            <w:sz w:val="18"/>
            <w:szCs w:val="18"/>
            <w:u w:val="single"/>
          </w:rPr>
          <w:t>https://doi.org/10.1002/cdq.12345</w:t>
        </w:r>
      </w:hyperlink>
      <w:r w:rsidRPr="008D4E5F">
        <w:rPr>
          <w:rFonts w:eastAsia="Times New Roman"/>
          <w:color w:val="000000"/>
          <w:sz w:val="18"/>
          <w:szCs w:val="18"/>
        </w:rPr>
        <w:t> </w:t>
      </w:r>
    </w:p>
    <w:p w14:paraId="66A6F05E" w14:textId="77777777" w:rsidR="00FA45EA" w:rsidRPr="008D4E5F" w:rsidRDefault="00FA45EA" w:rsidP="008D4E5F">
      <w:pPr>
        <w:spacing w:after="0" w:line="240" w:lineRule="auto"/>
        <w:ind w:left="720"/>
        <w:rPr>
          <w:rFonts w:eastAsia="Times New Roman"/>
          <w:sz w:val="18"/>
          <w:szCs w:val="18"/>
        </w:rPr>
      </w:pPr>
    </w:p>
    <w:p w14:paraId="2D602EAD"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t xml:space="preserve">Godbey, S., &amp; Gordon, H. R. D. (2019). Career exploration at the middle school level: Barriers and opportunities. </w:t>
      </w:r>
      <w:r w:rsidRPr="008D4E5F">
        <w:rPr>
          <w:rFonts w:eastAsia="Times New Roman"/>
          <w:i/>
          <w:iCs/>
          <w:color w:val="000000"/>
          <w:sz w:val="18"/>
          <w:szCs w:val="18"/>
        </w:rPr>
        <w:t>Middle Grades Review, 5</w:t>
      </w:r>
      <w:r w:rsidRPr="008D4E5F">
        <w:rPr>
          <w:rFonts w:eastAsia="Times New Roman"/>
          <w:color w:val="000000"/>
          <w:sz w:val="18"/>
          <w:szCs w:val="18"/>
        </w:rPr>
        <w:t xml:space="preserve">(2). </w:t>
      </w:r>
      <w:hyperlink r:id="rId9" w:history="1">
        <w:r w:rsidRPr="008D4E5F">
          <w:rPr>
            <w:rFonts w:eastAsia="Times New Roman"/>
            <w:color w:val="467886"/>
            <w:sz w:val="18"/>
            <w:szCs w:val="18"/>
            <w:u w:val="single"/>
          </w:rPr>
          <w:t>https://scholarworks.uvm.edu/mgreview/vol5/iss2/2</w:t>
        </w:r>
      </w:hyperlink>
      <w:r w:rsidRPr="008D4E5F">
        <w:rPr>
          <w:rFonts w:eastAsia="Times New Roman"/>
          <w:color w:val="000000"/>
          <w:sz w:val="18"/>
          <w:szCs w:val="18"/>
        </w:rPr>
        <w:t> </w:t>
      </w:r>
    </w:p>
    <w:p w14:paraId="5DEB653C" w14:textId="77777777" w:rsidR="00FA45EA" w:rsidRPr="008D4E5F" w:rsidRDefault="00FA45EA" w:rsidP="008D4E5F">
      <w:pPr>
        <w:spacing w:after="0" w:line="240" w:lineRule="auto"/>
        <w:ind w:left="720"/>
        <w:rPr>
          <w:rFonts w:eastAsia="Times New Roman"/>
          <w:sz w:val="18"/>
          <w:szCs w:val="18"/>
        </w:rPr>
      </w:pPr>
    </w:p>
    <w:p w14:paraId="2A978617"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t xml:space="preserve">James, S. L. (2024). </w:t>
      </w:r>
      <w:r w:rsidRPr="008D4E5F">
        <w:rPr>
          <w:rFonts w:eastAsia="Times New Roman"/>
          <w:i/>
          <w:iCs/>
          <w:color w:val="000000"/>
          <w:sz w:val="18"/>
          <w:szCs w:val="18"/>
        </w:rPr>
        <w:t xml:space="preserve">A mixed methods case study program evaluation of a middle school career exploration program </w:t>
      </w:r>
      <w:r w:rsidRPr="008D4E5F">
        <w:rPr>
          <w:rFonts w:eastAsia="Times New Roman"/>
          <w:color w:val="000000"/>
          <w:sz w:val="18"/>
          <w:szCs w:val="18"/>
        </w:rPr>
        <w:t xml:space="preserve">(Publication No. 31330513). [Doctoral dissertation, Oral Roberts University] ProQuest Dissertations &amp; Theses. </w:t>
      </w:r>
      <w:hyperlink r:id="rId10" w:history="1">
        <w:r w:rsidRPr="008D4E5F">
          <w:rPr>
            <w:rFonts w:eastAsia="Times New Roman"/>
            <w:color w:val="467886"/>
            <w:sz w:val="18"/>
            <w:szCs w:val="18"/>
            <w:u w:val="single"/>
          </w:rPr>
          <w:t>https://www.proquest.com/docview/3066204650/abstract?parentSessionId=YWecl2ZOx6uG%2FNHotMuIhIZHJ88ha1PFEYvGbLyfWi4%3D&amp;accountid=12964&amp;sourcetype=Dissertations%20&amp;%20Theses</w:t>
        </w:r>
      </w:hyperlink>
      <w:r w:rsidRPr="008D4E5F">
        <w:rPr>
          <w:rFonts w:eastAsia="Times New Roman"/>
          <w:color w:val="000000"/>
          <w:sz w:val="18"/>
          <w:szCs w:val="18"/>
        </w:rPr>
        <w:t> </w:t>
      </w:r>
    </w:p>
    <w:p w14:paraId="11FFEB49" w14:textId="77777777" w:rsidR="00FA45EA" w:rsidRPr="008D4E5F" w:rsidRDefault="00FA45EA" w:rsidP="008D4E5F">
      <w:pPr>
        <w:spacing w:after="0" w:line="240" w:lineRule="auto"/>
        <w:ind w:left="720"/>
        <w:rPr>
          <w:rFonts w:eastAsia="Times New Roman"/>
          <w:sz w:val="18"/>
          <w:szCs w:val="18"/>
        </w:rPr>
      </w:pPr>
    </w:p>
    <w:p w14:paraId="21F21B93"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t xml:space="preserve">Kim, Y., &amp; Lee, H. (2023). Investigating the effects of career education programs on high school students’ career development competencies in Korea. </w:t>
      </w:r>
      <w:r w:rsidRPr="008D4E5F">
        <w:rPr>
          <w:rFonts w:eastAsia="Times New Roman"/>
          <w:i/>
          <w:iCs/>
          <w:color w:val="000000"/>
          <w:sz w:val="18"/>
          <w:szCs w:val="18"/>
        </w:rPr>
        <w:t>Sustainability</w:t>
      </w:r>
      <w:r w:rsidRPr="008D4E5F">
        <w:rPr>
          <w:rFonts w:eastAsia="Times New Roman"/>
          <w:color w:val="000000"/>
          <w:sz w:val="18"/>
          <w:szCs w:val="18"/>
        </w:rPr>
        <w:t xml:space="preserve">, </w:t>
      </w:r>
      <w:r w:rsidRPr="008D4E5F">
        <w:rPr>
          <w:rFonts w:eastAsia="Times New Roman"/>
          <w:i/>
          <w:iCs/>
          <w:color w:val="000000"/>
          <w:sz w:val="18"/>
          <w:szCs w:val="18"/>
        </w:rPr>
        <w:t>15</w:t>
      </w:r>
      <w:r w:rsidRPr="008D4E5F">
        <w:rPr>
          <w:rFonts w:eastAsia="Times New Roman"/>
          <w:color w:val="000000"/>
          <w:sz w:val="18"/>
          <w:szCs w:val="18"/>
        </w:rPr>
        <w:t xml:space="preserve">(18), 13970. </w:t>
      </w:r>
      <w:hyperlink r:id="rId11" w:history="1">
        <w:r w:rsidRPr="008D4E5F">
          <w:rPr>
            <w:rFonts w:eastAsia="Times New Roman"/>
            <w:color w:val="467886"/>
            <w:sz w:val="18"/>
            <w:szCs w:val="18"/>
            <w:u w:val="single"/>
          </w:rPr>
          <w:t>https://doi.org/10.3390/su151813970</w:t>
        </w:r>
      </w:hyperlink>
      <w:r w:rsidRPr="008D4E5F">
        <w:rPr>
          <w:rFonts w:eastAsia="Times New Roman"/>
          <w:color w:val="000000"/>
          <w:sz w:val="18"/>
          <w:szCs w:val="18"/>
        </w:rPr>
        <w:t> </w:t>
      </w:r>
    </w:p>
    <w:p w14:paraId="601897E3" w14:textId="77777777" w:rsidR="00FA45EA" w:rsidRPr="008D4E5F" w:rsidRDefault="00FA45EA" w:rsidP="008D4E5F">
      <w:pPr>
        <w:spacing w:after="0" w:line="240" w:lineRule="auto"/>
        <w:ind w:left="720"/>
        <w:rPr>
          <w:rFonts w:eastAsia="Times New Roman"/>
          <w:sz w:val="18"/>
          <w:szCs w:val="18"/>
        </w:rPr>
      </w:pPr>
    </w:p>
    <w:p w14:paraId="2A87D63A"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t xml:space="preserve">Masters, S., &amp; Barth, J. (2022). Do gender conformity pressure and occupational knowledge influence stereotypical occupation preferences in middle childhood? </w:t>
      </w:r>
      <w:r w:rsidRPr="008D4E5F">
        <w:rPr>
          <w:rFonts w:eastAsia="Times New Roman"/>
          <w:i/>
          <w:iCs/>
          <w:color w:val="000000"/>
          <w:sz w:val="18"/>
          <w:szCs w:val="18"/>
        </w:rPr>
        <w:t>Frontiers in Education</w:t>
      </w:r>
      <w:r w:rsidRPr="008D4E5F">
        <w:rPr>
          <w:rFonts w:eastAsia="Times New Roman"/>
          <w:color w:val="000000"/>
          <w:sz w:val="18"/>
          <w:szCs w:val="18"/>
        </w:rPr>
        <w:t xml:space="preserve">, </w:t>
      </w:r>
      <w:r w:rsidRPr="008D4E5F">
        <w:rPr>
          <w:rFonts w:eastAsia="Times New Roman"/>
          <w:i/>
          <w:iCs/>
          <w:color w:val="000000"/>
          <w:sz w:val="18"/>
          <w:szCs w:val="18"/>
        </w:rPr>
        <w:t>6</w:t>
      </w:r>
      <w:r w:rsidRPr="008D4E5F">
        <w:rPr>
          <w:rFonts w:eastAsia="Times New Roman"/>
          <w:color w:val="000000"/>
          <w:sz w:val="18"/>
          <w:szCs w:val="18"/>
        </w:rPr>
        <w:t xml:space="preserve">, 780815. </w:t>
      </w:r>
      <w:hyperlink r:id="rId12" w:history="1">
        <w:r w:rsidRPr="008D4E5F">
          <w:rPr>
            <w:rFonts w:eastAsia="Times New Roman"/>
            <w:color w:val="467886"/>
            <w:sz w:val="18"/>
            <w:szCs w:val="18"/>
            <w:u w:val="single"/>
          </w:rPr>
          <w:t>https://doi.org/10.3389/feduc.2021.780815</w:t>
        </w:r>
      </w:hyperlink>
      <w:r w:rsidRPr="008D4E5F">
        <w:rPr>
          <w:rFonts w:eastAsia="Times New Roman"/>
          <w:color w:val="000000"/>
          <w:sz w:val="18"/>
          <w:szCs w:val="18"/>
        </w:rPr>
        <w:t>  </w:t>
      </w:r>
    </w:p>
    <w:p w14:paraId="38324517" w14:textId="77777777" w:rsidR="00FA45EA" w:rsidRPr="008D4E5F" w:rsidRDefault="00FA45EA" w:rsidP="008D4E5F">
      <w:pPr>
        <w:spacing w:after="0" w:line="240" w:lineRule="auto"/>
        <w:ind w:left="720"/>
        <w:rPr>
          <w:rFonts w:eastAsia="Times New Roman"/>
          <w:sz w:val="18"/>
          <w:szCs w:val="18"/>
        </w:rPr>
      </w:pPr>
    </w:p>
    <w:p w14:paraId="7B914AE9" w14:textId="77777777" w:rsidR="00FA45EA" w:rsidRPr="008D4E5F" w:rsidRDefault="00FA45EA" w:rsidP="008D4E5F">
      <w:pPr>
        <w:spacing w:after="0" w:line="240" w:lineRule="auto"/>
        <w:ind w:left="720" w:hanging="720"/>
        <w:rPr>
          <w:rFonts w:eastAsia="Times New Roman"/>
          <w:sz w:val="18"/>
          <w:szCs w:val="18"/>
        </w:rPr>
      </w:pPr>
      <w:r w:rsidRPr="008D4E5F">
        <w:rPr>
          <w:rFonts w:eastAsia="Times New Roman"/>
          <w:color w:val="000000"/>
          <w:sz w:val="18"/>
          <w:szCs w:val="18"/>
        </w:rPr>
        <w:t>Oliveira, Íris M., &amp; Araújo, A. M. (2022). Career exploration as a foundation for career developmental learning and academic success in childhood. </w:t>
      </w:r>
      <w:r w:rsidRPr="008D4E5F">
        <w:rPr>
          <w:rFonts w:eastAsia="Times New Roman"/>
          <w:i/>
          <w:iCs/>
          <w:color w:val="000000"/>
          <w:sz w:val="18"/>
          <w:szCs w:val="18"/>
        </w:rPr>
        <w:t>British Journal of Guidance &amp; Counselling</w:t>
      </w:r>
      <w:r w:rsidRPr="008D4E5F">
        <w:rPr>
          <w:rFonts w:eastAsia="Times New Roman"/>
          <w:color w:val="000000"/>
          <w:sz w:val="18"/>
          <w:szCs w:val="18"/>
        </w:rPr>
        <w:t>, </w:t>
      </w:r>
      <w:r w:rsidRPr="008D4E5F">
        <w:rPr>
          <w:rFonts w:eastAsia="Times New Roman"/>
          <w:i/>
          <w:iCs/>
          <w:color w:val="000000"/>
          <w:sz w:val="18"/>
          <w:szCs w:val="18"/>
        </w:rPr>
        <w:t>50</w:t>
      </w:r>
      <w:r w:rsidRPr="008D4E5F">
        <w:rPr>
          <w:rFonts w:eastAsia="Times New Roman"/>
          <w:color w:val="000000"/>
          <w:sz w:val="18"/>
          <w:szCs w:val="18"/>
        </w:rPr>
        <w:t xml:space="preserve">(3), 351–370. </w:t>
      </w:r>
      <w:hyperlink r:id="rId13" w:history="1">
        <w:r w:rsidRPr="008D4E5F">
          <w:rPr>
            <w:rFonts w:eastAsia="Times New Roman"/>
            <w:color w:val="467886"/>
            <w:sz w:val="18"/>
            <w:szCs w:val="18"/>
            <w:u w:val="single"/>
          </w:rPr>
          <w:t>https://doi.org/10.1080/03069885.2021.1887814</w:t>
        </w:r>
      </w:hyperlink>
    </w:p>
    <w:p w14:paraId="0FF3B865" w14:textId="77777777" w:rsidR="00FA45EA" w:rsidRPr="008D4E5F" w:rsidRDefault="00FA45EA" w:rsidP="008D4E5F">
      <w:pPr>
        <w:spacing w:after="0" w:line="240" w:lineRule="auto"/>
        <w:ind w:left="720"/>
        <w:rPr>
          <w:rFonts w:eastAsia="Times New Roman"/>
          <w:sz w:val="18"/>
          <w:szCs w:val="18"/>
        </w:rPr>
      </w:pPr>
    </w:p>
    <w:p w14:paraId="13F5B5D0" w14:textId="77777777" w:rsidR="00FA45EA" w:rsidRPr="008D4E5F" w:rsidRDefault="00FA45EA" w:rsidP="008D4E5F">
      <w:pPr>
        <w:spacing w:after="0" w:line="240" w:lineRule="auto"/>
        <w:ind w:left="720" w:hanging="720"/>
        <w:rPr>
          <w:rFonts w:eastAsia="Times New Roman"/>
          <w:sz w:val="18"/>
          <w:szCs w:val="18"/>
        </w:rPr>
      </w:pPr>
      <w:proofErr w:type="spellStart"/>
      <w:r w:rsidRPr="008D4E5F">
        <w:rPr>
          <w:rFonts w:eastAsia="Times New Roman"/>
          <w:color w:val="000000"/>
          <w:sz w:val="18"/>
          <w:szCs w:val="18"/>
        </w:rPr>
        <w:t>Turnlund</w:t>
      </w:r>
      <w:proofErr w:type="spellEnd"/>
      <w:r w:rsidRPr="008D4E5F">
        <w:rPr>
          <w:rFonts w:eastAsia="Times New Roman"/>
          <w:color w:val="000000"/>
          <w:sz w:val="18"/>
          <w:szCs w:val="18"/>
        </w:rPr>
        <w:t>, M. (2019). The experiential-learning track: Career exploration, student interest, &amp; applied classroom-learning in small rural junior-senior high schools. </w:t>
      </w:r>
      <w:r w:rsidRPr="008D4E5F">
        <w:rPr>
          <w:rFonts w:eastAsia="Times New Roman"/>
          <w:i/>
          <w:iCs/>
          <w:color w:val="000000"/>
          <w:sz w:val="18"/>
          <w:szCs w:val="18"/>
        </w:rPr>
        <w:t>Northwest Journal of Teacher Education</w:t>
      </w:r>
      <w:r w:rsidRPr="008D4E5F">
        <w:rPr>
          <w:rFonts w:eastAsia="Times New Roman"/>
          <w:color w:val="000000"/>
          <w:sz w:val="18"/>
          <w:szCs w:val="18"/>
        </w:rPr>
        <w:t>, </w:t>
      </w:r>
      <w:r w:rsidRPr="008D4E5F">
        <w:rPr>
          <w:rFonts w:eastAsia="Times New Roman"/>
          <w:i/>
          <w:iCs/>
          <w:color w:val="000000"/>
          <w:sz w:val="18"/>
          <w:szCs w:val="18"/>
        </w:rPr>
        <w:t>14</w:t>
      </w:r>
      <w:r w:rsidRPr="008D4E5F">
        <w:rPr>
          <w:rFonts w:eastAsia="Times New Roman"/>
          <w:color w:val="000000"/>
          <w:sz w:val="18"/>
          <w:szCs w:val="18"/>
        </w:rPr>
        <w:t xml:space="preserve">(2). </w:t>
      </w:r>
      <w:hyperlink r:id="rId14" w:history="1">
        <w:r w:rsidRPr="008D4E5F">
          <w:rPr>
            <w:rFonts w:eastAsia="Times New Roman"/>
            <w:color w:val="467886"/>
            <w:sz w:val="18"/>
            <w:szCs w:val="18"/>
            <w:u w:val="single"/>
          </w:rPr>
          <w:t>https://doi.org/10.15760/nwjte.2019.14.2.5</w:t>
        </w:r>
      </w:hyperlink>
      <w:r w:rsidRPr="008D4E5F">
        <w:rPr>
          <w:rFonts w:eastAsia="Times New Roman"/>
          <w:color w:val="000000"/>
          <w:sz w:val="18"/>
          <w:szCs w:val="18"/>
        </w:rPr>
        <w:t> </w:t>
      </w:r>
    </w:p>
    <w:p w14:paraId="544CAC1A" w14:textId="77777777" w:rsidR="00FA45EA" w:rsidRPr="008D4E5F" w:rsidRDefault="00FA45EA" w:rsidP="008D4E5F">
      <w:pPr>
        <w:spacing w:after="0" w:line="240" w:lineRule="auto"/>
        <w:ind w:left="720"/>
        <w:rPr>
          <w:rFonts w:eastAsia="Times New Roman"/>
          <w:sz w:val="18"/>
          <w:szCs w:val="18"/>
        </w:rPr>
      </w:pPr>
    </w:p>
    <w:p w14:paraId="4D4F7612" w14:textId="4405E3AC" w:rsidR="00BD5498" w:rsidRPr="008D4E5F" w:rsidRDefault="00BD5498" w:rsidP="008D4E5F">
      <w:pPr>
        <w:ind w:left="720"/>
      </w:pPr>
    </w:p>
    <w:sectPr w:rsidR="00BD5498" w:rsidRPr="008D4E5F" w:rsidSect="008D4E5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43C4" w14:textId="77777777" w:rsidR="00154F34" w:rsidRDefault="00154F34">
      <w:pPr>
        <w:spacing w:after="0" w:line="240" w:lineRule="auto"/>
      </w:pPr>
      <w:r>
        <w:separator/>
      </w:r>
    </w:p>
  </w:endnote>
  <w:endnote w:type="continuationSeparator" w:id="0">
    <w:p w14:paraId="466FD204" w14:textId="77777777" w:rsidR="00154F34" w:rsidRDefault="0015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91F8" w14:textId="77777777" w:rsidR="00BD5498" w:rsidRDefault="00BD5498">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DF2B" w14:textId="38EFF44E" w:rsidR="00BD5498" w:rsidRDefault="00FA45EA">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573DA743" wp14:editId="09F86012">
              <wp:simplePos x="0" y="0"/>
              <wp:positionH relativeFrom="column">
                <wp:posOffset>1495327</wp:posOffset>
              </wp:positionH>
              <wp:positionV relativeFrom="paragraph">
                <wp:posOffset>-94615</wp:posOffset>
              </wp:positionV>
              <wp:extent cx="3495675" cy="2667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495675" cy="266700"/>
                      </a:xfrm>
                      <a:prstGeom prst="rect">
                        <a:avLst/>
                      </a:prstGeom>
                      <a:noFill/>
                      <a:ln>
                        <a:noFill/>
                      </a:ln>
                    </wps:spPr>
                    <wps:txbx>
                      <w:txbxContent>
                        <w:p w14:paraId="755444DA" w14:textId="4DA47F82" w:rsidR="00BD5498" w:rsidRPr="00FA45EA" w:rsidRDefault="008D4E5F" w:rsidP="008D4E5F">
                          <w:pPr>
                            <w:pStyle w:val="Footer"/>
                          </w:pPr>
                          <w:fldSimple w:instr=" TITLE  \* MERGEFORMAT ">
                            <w:r>
                              <w:t>The Incredible Journey</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3DA743" id="Rectangle 1" o:spid="_x0000_s1026" style="position:absolute;margin-left:117.75pt;margin-top:-7.45pt;width:27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" filled="f" stroked="f">
              <v:textbox inset="2.53958mm,1.2694mm,2.53958mm,1.2694mm">
                <w:txbxContent>
                  <w:p w14:paraId="755444DA" w14:textId="4DA47F82" w:rsidR="00BD5498" w:rsidRPr="00FA45EA" w:rsidRDefault="008D4E5F" w:rsidP="008D4E5F">
                    <w:pPr>
                      <w:pStyle w:val="Footer"/>
                    </w:pPr>
                    <w:fldSimple w:instr=" TITLE  \* MERGEFORMAT ">
                      <w:r>
                        <w:t>The Incredible Journey</w:t>
                      </w:r>
                    </w:fldSimple>
                  </w:p>
                </w:txbxContent>
              </v:textbox>
              <w10:wrap type="square"/>
            </v:rect>
          </w:pict>
        </mc:Fallback>
      </mc:AlternateContent>
    </w:r>
    <w:r>
      <w:rPr>
        <w:noProof/>
      </w:rPr>
      <w:drawing>
        <wp:anchor distT="0" distB="0" distL="0" distR="0" simplePos="0" relativeHeight="251658240" behindDoc="1" locked="0" layoutInCell="1" hidden="0" allowOverlap="1" wp14:anchorId="4BF1BA8C" wp14:editId="73EB8543">
          <wp:simplePos x="0" y="0"/>
          <wp:positionH relativeFrom="column">
            <wp:posOffset>1040130</wp:posOffset>
          </wp:positionH>
          <wp:positionV relativeFrom="paragraph">
            <wp:posOffset>-96520</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A970" w14:textId="77777777" w:rsidR="00BD5498" w:rsidRDefault="00BD5498">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E9F1" w14:textId="77777777" w:rsidR="00154F34" w:rsidRDefault="00154F34">
      <w:pPr>
        <w:spacing w:after="0" w:line="240" w:lineRule="auto"/>
      </w:pPr>
      <w:r>
        <w:separator/>
      </w:r>
    </w:p>
  </w:footnote>
  <w:footnote w:type="continuationSeparator" w:id="0">
    <w:p w14:paraId="10351368" w14:textId="77777777" w:rsidR="00154F34" w:rsidRDefault="00154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C580" w14:textId="77777777" w:rsidR="00BD5498" w:rsidRDefault="00BD549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07AC" w14:textId="77777777" w:rsidR="00BD5498" w:rsidRDefault="00BD549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B466" w14:textId="77777777" w:rsidR="00BD5498" w:rsidRDefault="00BD549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C4E6D"/>
    <w:multiLevelType w:val="multilevel"/>
    <w:tmpl w:val="E0EC7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F5B35"/>
    <w:multiLevelType w:val="multilevel"/>
    <w:tmpl w:val="B2785D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D8A3D70"/>
    <w:multiLevelType w:val="multilevel"/>
    <w:tmpl w:val="60DC5F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319426">
    <w:abstractNumId w:val="4"/>
  </w:num>
  <w:num w:numId="2" w16cid:durableId="1940140174">
    <w:abstractNumId w:val="0"/>
  </w:num>
  <w:num w:numId="3" w16cid:durableId="93786007">
    <w:abstractNumId w:val="3"/>
  </w:num>
  <w:num w:numId="4" w16cid:durableId="1296905603">
    <w:abstractNumId w:val="5"/>
  </w:num>
  <w:num w:numId="5" w16cid:durableId="1771200790">
    <w:abstractNumId w:val="2"/>
  </w:num>
  <w:num w:numId="6" w16cid:durableId="72903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98"/>
    <w:rsid w:val="00154F34"/>
    <w:rsid w:val="0052375A"/>
    <w:rsid w:val="005379F8"/>
    <w:rsid w:val="005D742A"/>
    <w:rsid w:val="007258A7"/>
    <w:rsid w:val="0079309A"/>
    <w:rsid w:val="008D4E5F"/>
    <w:rsid w:val="00965728"/>
    <w:rsid w:val="00BD5498"/>
    <w:rsid w:val="00D6472D"/>
    <w:rsid w:val="00F02788"/>
    <w:rsid w:val="00FA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2A69"/>
  <w15:docId w15:val="{866E68BC-F092-2843-A964-9910B885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D4E5F"/>
    <w:rPr>
      <w:rFonts w:eastAsiaTheme="minorHAnsi"/>
      <w:kern w:val="2"/>
      <w:lang w:val="en-US"/>
      <w14:ligatures w14:val="standardContextual"/>
    </w:rPr>
  </w:style>
  <w:style w:type="paragraph" w:styleId="Heading1">
    <w:name w:val="heading 1"/>
    <w:basedOn w:val="Normal"/>
    <w:next w:val="Normal"/>
    <w:link w:val="Heading1Char"/>
    <w:uiPriority w:val="9"/>
    <w:qFormat/>
    <w:rsid w:val="008D4E5F"/>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8D4E5F"/>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8D4E5F"/>
    <w:pPr>
      <w:outlineLvl w:val="2"/>
    </w:pPr>
    <w:rPr>
      <w:i/>
      <w:iCs/>
      <w:sz w:val="18"/>
      <w:szCs w:val="18"/>
    </w:rPr>
  </w:style>
  <w:style w:type="paragraph" w:styleId="Heading4">
    <w:name w:val="heading 4"/>
    <w:basedOn w:val="Footer"/>
    <w:next w:val="Normal"/>
    <w:link w:val="Heading4Char"/>
    <w:uiPriority w:val="9"/>
    <w:unhideWhenUsed/>
    <w:qFormat/>
    <w:rsid w:val="008D4E5F"/>
    <w:rPr>
      <w:b w:val="0"/>
      <w:bCs w:val="0"/>
    </w:rPr>
  </w:style>
  <w:style w:type="paragraph" w:styleId="Heading5">
    <w:name w:val="heading 5"/>
    <w:basedOn w:val="Normal"/>
    <w:next w:val="Normal"/>
    <w:link w:val="Heading5Char"/>
    <w:uiPriority w:val="9"/>
    <w:semiHidden/>
    <w:unhideWhenUsed/>
    <w:qFormat/>
    <w:rsid w:val="008D4E5F"/>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8D4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8D4E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4E5F"/>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8D4E5F"/>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8D4E5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D4E5F"/>
    <w:rPr>
      <w:color w:val="285782" w:themeColor="accent1"/>
      <w:u w:val="single"/>
    </w:rPr>
  </w:style>
  <w:style w:type="character" w:customStyle="1" w:styleId="Heading7Char">
    <w:name w:val="Heading 7 Char"/>
    <w:basedOn w:val="DefaultParagraphFont"/>
    <w:link w:val="Heading7"/>
    <w:uiPriority w:val="9"/>
    <w:semiHidden/>
    <w:rsid w:val="008D4E5F"/>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8D4E5F"/>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8D4E5F"/>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8D4E5F"/>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8D4E5F"/>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8D4E5F"/>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8D4E5F"/>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8D4E5F"/>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8D4E5F"/>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8D4E5F"/>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8D4E5F"/>
    <w:rPr>
      <w:color w:val="288AC3" w:themeColor="followedHyperlink"/>
      <w:u w:val="single"/>
    </w:rPr>
  </w:style>
  <w:style w:type="paragraph" w:styleId="Footer">
    <w:name w:val="footer"/>
    <w:basedOn w:val="Normal"/>
    <w:link w:val="FooterChar"/>
    <w:uiPriority w:val="99"/>
    <w:unhideWhenUsed/>
    <w:rsid w:val="008D4E5F"/>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8D4E5F"/>
    <w:rPr>
      <w:rFonts w:eastAsiaTheme="minorHAnsi"/>
      <w:b/>
      <w:bCs/>
      <w:caps/>
      <w:kern w:val="2"/>
      <w:lang w:val="en-US"/>
      <w14:ligatures w14:val="standardContextual"/>
    </w:rPr>
  </w:style>
  <w:style w:type="paragraph" w:customStyle="1" w:styleId="BlockQuote">
    <w:name w:val="Block Quote"/>
    <w:basedOn w:val="Normal"/>
    <w:qFormat/>
    <w:rsid w:val="008D4E5F"/>
    <w:pPr>
      <w:ind w:left="720"/>
    </w:pPr>
    <w:rPr>
      <w:i/>
    </w:rPr>
  </w:style>
  <w:style w:type="character" w:styleId="UnresolvedMention">
    <w:name w:val="Unresolved Mention"/>
    <w:basedOn w:val="DefaultParagraphFont"/>
    <w:uiPriority w:val="99"/>
    <w:semiHidden/>
    <w:unhideWhenUsed/>
    <w:rsid w:val="008D4E5F"/>
    <w:rPr>
      <w:color w:val="605E5C"/>
      <w:shd w:val="clear" w:color="auto" w:fill="E1DFDD"/>
    </w:rPr>
  </w:style>
  <w:style w:type="paragraph" w:customStyle="1" w:styleId="AnswerKey">
    <w:name w:val="Answer Key"/>
    <w:basedOn w:val="Normal"/>
    <w:qFormat/>
    <w:rsid w:val="008D4E5F"/>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dq.12345" TargetMode="External"/><Relationship Id="rId13" Type="http://schemas.openxmlformats.org/officeDocument/2006/relationships/hyperlink" Target="https://doi.org/10.1080/03069885.2021.188781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7/s10775-020-09425-4" TargetMode="External"/><Relationship Id="rId12" Type="http://schemas.openxmlformats.org/officeDocument/2006/relationships/hyperlink" Target="https://doi.org/10.3389/feduc.2021.7808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su15181397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roquest.com/docview/3066204650/abstract?parentSessionId=YWecl2ZOx6uG%2FNHotMuIhIZHJ88ha1PFEYvGbLyfWi4%3D&amp;accountid=12964&amp;sourcetype=Dissertations%20&amp;%20Thes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cholarworks.uvm.edu/mgreview/vol5/iss2/2" TargetMode="External"/><Relationship Id="rId14" Type="http://schemas.openxmlformats.org/officeDocument/2006/relationships/hyperlink" Target="https://doi.org/10.15760/nwjte.2019.14.2.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1</TotalTime>
  <Pages>2</Pages>
  <Words>554</Words>
  <Characters>3827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Incredible Journey</dc:title>
  <dc:subject/>
  <dc:creator>K20 Center</dc:creator>
  <cp:keywords/>
  <dc:description/>
  <cp:lastModifiedBy>Gracia, Ann M.</cp:lastModifiedBy>
  <cp:revision>3</cp:revision>
  <cp:lastPrinted>2025-08-13T17:45:00Z</cp:lastPrinted>
  <dcterms:created xsi:type="dcterms:W3CDTF">2025-08-13T17:45:00Z</dcterms:created>
  <dcterms:modified xsi:type="dcterms:W3CDTF">2025-08-13T17:45:00Z</dcterms:modified>
  <cp:category/>
</cp:coreProperties>
</file>