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1073579" w14:textId="77777777" w:rsidR="00CE6EE2" w:rsidRDefault="00CE6EE2">
      <w:pPr>
        <w:spacing w:line="360" w:lineRule="auto"/>
        <w:rPr>
          <w:rFonts w:ascii="Calibri" w:eastAsia="Calibri" w:hAnsi="Calibri" w:cs="Calibri"/>
          <w:sz w:val="24"/>
          <w:szCs w:val="24"/>
        </w:rPr>
        <w:sectPr w:rsidR="00CE6EE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35" w:footer="720" w:gutter="0"/>
          <w:pgNumType w:start="1"/>
          <w:cols w:space="720" w:equalWidth="0">
            <w:col w:w="9360"/>
          </w:cols>
        </w:sectPr>
      </w:pPr>
    </w:p>
    <w:p w14:paraId="0107357A" w14:textId="70489361" w:rsidR="00CE6EE2" w:rsidRPr="00457B5A" w:rsidRDefault="00B44434">
      <w:pPr>
        <w:rPr>
          <w:rFonts w:ascii="Calibri" w:eastAsia="Calibri" w:hAnsi="Calibri" w:cs="Calibri"/>
          <w:b/>
          <w:color w:val="980000"/>
          <w:sz w:val="44"/>
          <w:szCs w:val="44"/>
        </w:rPr>
      </w:pPr>
      <w:r w:rsidRPr="00457B5A">
        <w:rPr>
          <w:rFonts w:ascii="Calibri" w:eastAsia="Calibri" w:hAnsi="Calibri" w:cs="Calibri"/>
          <w:b/>
          <w:color w:val="980000"/>
          <w:sz w:val="44"/>
          <w:szCs w:val="44"/>
        </w:rPr>
        <w:t xml:space="preserve">Student Conversations </w:t>
      </w:r>
      <w:r w:rsidR="00F57BE9" w:rsidRPr="00F57BE9">
        <w:rPr>
          <w:rFonts w:ascii="Calibri" w:eastAsia="Calibri" w:hAnsi="Calibri" w:cs="Calibri"/>
          <w:b/>
          <w:i/>
          <w:iCs/>
          <w:color w:val="980000"/>
          <w:sz w:val="44"/>
          <w:szCs w:val="44"/>
        </w:rPr>
        <w:t>Are</w:t>
      </w:r>
      <w:r w:rsidRPr="00457B5A">
        <w:rPr>
          <w:rFonts w:ascii="Calibri" w:eastAsia="Calibri" w:hAnsi="Calibri" w:cs="Calibri"/>
          <w:b/>
          <w:color w:val="980000"/>
          <w:sz w:val="44"/>
          <w:szCs w:val="44"/>
        </w:rPr>
        <w:t xml:space="preserve"> Learning </w:t>
      </w:r>
    </w:p>
    <w:p w14:paraId="0107357C" w14:textId="77777777" w:rsidR="00CE6EE2" w:rsidRDefault="00B44434" w:rsidP="00005639">
      <w:pPr>
        <w:spacing w:before="240" w:after="200"/>
        <w:rPr>
          <w:rFonts w:ascii="Calibri" w:eastAsia="Calibri" w:hAnsi="Calibri" w:cs="Calibri"/>
          <w:b/>
          <w:sz w:val="28"/>
          <w:szCs w:val="28"/>
        </w:rPr>
      </w:pPr>
      <w:r>
        <w:rPr>
          <w:rFonts w:ascii="Calibri" w:eastAsia="Calibri" w:hAnsi="Calibri" w:cs="Calibri"/>
          <w:b/>
          <w:sz w:val="28"/>
          <w:szCs w:val="28"/>
        </w:rPr>
        <w:t>Introduction</w:t>
      </w:r>
    </w:p>
    <w:p w14:paraId="0107357D" w14:textId="453683E7" w:rsidR="00CE6EE2" w:rsidRDefault="00B44434">
      <w:pPr>
        <w:spacing w:after="200"/>
        <w:rPr>
          <w:rFonts w:ascii="Calibri" w:eastAsia="Calibri" w:hAnsi="Calibri" w:cs="Calibri"/>
          <w:b/>
          <w:sz w:val="28"/>
          <w:szCs w:val="28"/>
        </w:rPr>
      </w:pPr>
      <w:r>
        <w:rPr>
          <w:rFonts w:ascii="Calibri" w:eastAsia="Calibri" w:hAnsi="Calibri" w:cs="Calibri"/>
          <w:sz w:val="24"/>
          <w:szCs w:val="24"/>
        </w:rPr>
        <w:t xml:space="preserve">The “teacher talk” model of education is still the most prevalent in classrooms today. As a result, young employees arrive </w:t>
      </w:r>
      <w:r w:rsidR="006B531D">
        <w:rPr>
          <w:rFonts w:ascii="Calibri" w:eastAsia="Calibri" w:hAnsi="Calibri" w:cs="Calibri"/>
          <w:sz w:val="24"/>
          <w:szCs w:val="24"/>
        </w:rPr>
        <w:t>in</w:t>
      </w:r>
      <w:r>
        <w:rPr>
          <w:rFonts w:ascii="Calibri" w:eastAsia="Calibri" w:hAnsi="Calibri" w:cs="Calibri"/>
          <w:sz w:val="24"/>
          <w:szCs w:val="24"/>
        </w:rPr>
        <w:t xml:space="preserve"> the workforce unprepared for 21</w:t>
      </w:r>
      <w:r w:rsidRPr="006B531D">
        <w:rPr>
          <w:rFonts w:ascii="Calibri" w:eastAsia="Calibri" w:hAnsi="Calibri" w:cs="Calibri"/>
          <w:sz w:val="24"/>
          <w:szCs w:val="24"/>
          <w:vertAlign w:val="superscript"/>
        </w:rPr>
        <w:t>st</w:t>
      </w:r>
      <w:r w:rsidR="006B531D">
        <w:rPr>
          <w:rFonts w:ascii="Calibri" w:eastAsia="Calibri" w:hAnsi="Calibri" w:cs="Calibri"/>
          <w:sz w:val="24"/>
          <w:szCs w:val="24"/>
        </w:rPr>
        <w:t>-</w:t>
      </w:r>
      <w:r>
        <w:rPr>
          <w:rFonts w:ascii="Calibri" w:eastAsia="Calibri" w:hAnsi="Calibri" w:cs="Calibri"/>
          <w:sz w:val="24"/>
          <w:szCs w:val="24"/>
        </w:rPr>
        <w:t>century work tasks</w:t>
      </w:r>
      <w:r w:rsidR="00005639">
        <w:rPr>
          <w:rFonts w:ascii="Calibri" w:eastAsia="Calibri" w:hAnsi="Calibri" w:cs="Calibri"/>
          <w:sz w:val="24"/>
          <w:szCs w:val="24"/>
        </w:rPr>
        <w:t>, and b</w:t>
      </w:r>
      <w:r>
        <w:rPr>
          <w:rFonts w:ascii="Calibri" w:eastAsia="Calibri" w:hAnsi="Calibri" w:cs="Calibri"/>
          <w:sz w:val="24"/>
          <w:szCs w:val="24"/>
        </w:rPr>
        <w:t>usinesses spend billions of dollars a year providing remedial training (Handel, 2005, as cited in Gibbs, 2006). A typical school day m</w:t>
      </w:r>
      <w:r w:rsidR="00005639">
        <w:rPr>
          <w:rFonts w:ascii="Calibri" w:eastAsia="Calibri" w:hAnsi="Calibri" w:cs="Calibri"/>
          <w:sz w:val="24"/>
          <w:szCs w:val="24"/>
        </w:rPr>
        <w:t>ight</w:t>
      </w:r>
      <w:r>
        <w:rPr>
          <w:rFonts w:ascii="Calibri" w:eastAsia="Calibri" w:hAnsi="Calibri" w:cs="Calibri"/>
          <w:sz w:val="24"/>
          <w:szCs w:val="24"/>
        </w:rPr>
        <w:t xml:space="preserve"> provide </w:t>
      </w:r>
      <w:r w:rsidR="00005639">
        <w:rPr>
          <w:rFonts w:ascii="Calibri" w:eastAsia="Calibri" w:hAnsi="Calibri" w:cs="Calibri"/>
          <w:sz w:val="24"/>
          <w:szCs w:val="24"/>
        </w:rPr>
        <w:t xml:space="preserve">only </w:t>
      </w:r>
      <w:r>
        <w:rPr>
          <w:rFonts w:ascii="Calibri" w:eastAsia="Calibri" w:hAnsi="Calibri" w:cs="Calibri"/>
          <w:sz w:val="24"/>
          <w:szCs w:val="24"/>
        </w:rPr>
        <w:t xml:space="preserve">a few minutes for students to talk about what they are learning (Gibbs, 2006). On the other hand, student conversations, </w:t>
      </w:r>
      <w:r w:rsidR="00C62D27">
        <w:rPr>
          <w:rFonts w:ascii="Calibri" w:eastAsia="Calibri" w:hAnsi="Calibri" w:cs="Calibri"/>
          <w:sz w:val="24"/>
          <w:szCs w:val="24"/>
        </w:rPr>
        <w:t xml:space="preserve">when </w:t>
      </w:r>
      <w:r>
        <w:rPr>
          <w:rFonts w:ascii="Calibri" w:eastAsia="Calibri" w:hAnsi="Calibri" w:cs="Calibri"/>
          <w:sz w:val="24"/>
          <w:szCs w:val="24"/>
        </w:rPr>
        <w:t xml:space="preserve">supported by cooperative learning structures, have </w:t>
      </w:r>
      <w:r w:rsidR="00C62D27">
        <w:rPr>
          <w:rFonts w:ascii="Calibri" w:eastAsia="Calibri" w:hAnsi="Calibri" w:cs="Calibri"/>
          <w:sz w:val="24"/>
          <w:szCs w:val="24"/>
        </w:rPr>
        <w:t xml:space="preserve">gained </w:t>
      </w:r>
      <w:r>
        <w:rPr>
          <w:rFonts w:ascii="Calibri" w:eastAsia="Calibri" w:hAnsi="Calibri" w:cs="Calibri"/>
          <w:sz w:val="24"/>
          <w:szCs w:val="24"/>
        </w:rPr>
        <w:t>a reputation for developing skills in learners that are relevant to success in today’s society. Social skills, problem-solving skills, cultural competency, and increased self-efficacy are all supported when students work together in the classroom (Chi</w:t>
      </w:r>
      <w:r w:rsidR="00D52AB7">
        <w:rPr>
          <w:rFonts w:ascii="Calibri" w:eastAsia="Calibri" w:hAnsi="Calibri" w:cs="Calibri"/>
          <w:sz w:val="24"/>
          <w:szCs w:val="24"/>
        </w:rPr>
        <w:t>u</w:t>
      </w:r>
      <w:r>
        <w:rPr>
          <w:rFonts w:ascii="Calibri" w:eastAsia="Calibri" w:hAnsi="Calibri" w:cs="Calibri"/>
          <w:sz w:val="24"/>
          <w:szCs w:val="24"/>
        </w:rPr>
        <w:t>, 2008; Johnson &amp; Johnson, 2009; Nemeth-</w:t>
      </w:r>
      <w:proofErr w:type="spellStart"/>
      <w:r>
        <w:rPr>
          <w:rFonts w:ascii="Calibri" w:eastAsia="Calibri" w:hAnsi="Calibri" w:cs="Calibri"/>
          <w:sz w:val="24"/>
          <w:szCs w:val="24"/>
        </w:rPr>
        <w:t>Wachtler</w:t>
      </w:r>
      <w:proofErr w:type="spellEnd"/>
      <w:r>
        <w:rPr>
          <w:rFonts w:ascii="Calibri" w:eastAsia="Calibri" w:hAnsi="Calibri" w:cs="Calibri"/>
          <w:sz w:val="24"/>
          <w:szCs w:val="24"/>
        </w:rPr>
        <w:t xml:space="preserve">, </w:t>
      </w:r>
      <w:proofErr w:type="gramStart"/>
      <w:r>
        <w:rPr>
          <w:rFonts w:ascii="Calibri" w:eastAsia="Calibri" w:hAnsi="Calibri" w:cs="Calibri"/>
          <w:sz w:val="24"/>
          <w:szCs w:val="24"/>
        </w:rPr>
        <w:t>1983;  Sharan</w:t>
      </w:r>
      <w:proofErr w:type="gramEnd"/>
      <w:r>
        <w:rPr>
          <w:rFonts w:ascii="Calibri" w:eastAsia="Calibri" w:hAnsi="Calibri" w:cs="Calibri"/>
          <w:sz w:val="24"/>
          <w:szCs w:val="24"/>
        </w:rPr>
        <w:t xml:space="preserve">, 2010; Huber &amp; Snider, 2006). </w:t>
      </w:r>
    </w:p>
    <w:p w14:paraId="0107357F" w14:textId="77777777" w:rsidR="00CE6EE2" w:rsidRDefault="00B44434">
      <w:pPr>
        <w:spacing w:after="200"/>
        <w:rPr>
          <w:rFonts w:ascii="Calibri" w:eastAsia="Calibri" w:hAnsi="Calibri" w:cs="Calibri"/>
          <w:b/>
          <w:sz w:val="28"/>
          <w:szCs w:val="28"/>
        </w:rPr>
      </w:pPr>
      <w:r>
        <w:rPr>
          <w:rFonts w:ascii="Calibri" w:eastAsia="Calibri" w:hAnsi="Calibri" w:cs="Calibri"/>
          <w:b/>
          <w:sz w:val="28"/>
          <w:szCs w:val="28"/>
        </w:rPr>
        <w:t>Conversations Show Learning</w:t>
      </w:r>
    </w:p>
    <w:p w14:paraId="01073580" w14:textId="0400A76C" w:rsidR="00CE6EE2" w:rsidRDefault="00B44434">
      <w:pPr>
        <w:rPr>
          <w:rFonts w:ascii="Calibri" w:eastAsia="Calibri" w:hAnsi="Calibri" w:cs="Calibri"/>
          <w:sz w:val="24"/>
          <w:szCs w:val="24"/>
        </w:rPr>
      </w:pPr>
      <w:r>
        <w:rPr>
          <w:rFonts w:ascii="Calibri" w:eastAsia="Calibri" w:hAnsi="Calibri" w:cs="Calibri"/>
          <w:sz w:val="24"/>
          <w:szCs w:val="24"/>
        </w:rPr>
        <w:t>While recording and coding student conversations, researchers have noticed that student understanding of complex issues changes as the conversation is happening. When students discuss their learning, th</w:t>
      </w:r>
      <w:r w:rsidR="00005639">
        <w:rPr>
          <w:rFonts w:ascii="Calibri" w:eastAsia="Calibri" w:hAnsi="Calibri" w:cs="Calibri"/>
          <w:sz w:val="24"/>
          <w:szCs w:val="24"/>
        </w:rPr>
        <w:t>at</w:t>
      </w:r>
      <w:r>
        <w:rPr>
          <w:rFonts w:ascii="Calibri" w:eastAsia="Calibri" w:hAnsi="Calibri" w:cs="Calibri"/>
          <w:sz w:val="24"/>
          <w:szCs w:val="24"/>
        </w:rPr>
        <w:t xml:space="preserve"> learning is made visible to themselves</w:t>
      </w:r>
      <w:r w:rsidR="00005639">
        <w:rPr>
          <w:rFonts w:ascii="Calibri" w:eastAsia="Calibri" w:hAnsi="Calibri" w:cs="Calibri"/>
          <w:sz w:val="24"/>
          <w:szCs w:val="24"/>
        </w:rPr>
        <w:t>, helping them to develop</w:t>
      </w:r>
      <w:r>
        <w:rPr>
          <w:rFonts w:ascii="Calibri" w:eastAsia="Calibri" w:hAnsi="Calibri" w:cs="Calibri"/>
          <w:sz w:val="24"/>
          <w:szCs w:val="24"/>
        </w:rPr>
        <w:t xml:space="preserve"> metacognitive skills. When students converse about a complex </w:t>
      </w:r>
      <w:r>
        <w:rPr>
          <w:rFonts w:ascii="Calibri" w:eastAsia="Calibri" w:hAnsi="Calibri" w:cs="Calibri"/>
          <w:sz w:val="24"/>
          <w:szCs w:val="24"/>
        </w:rPr>
        <w:t>issue or concept, they understand it better (Chiu, 2008; Resnick, Michaels, &amp; Connor, 2010). This visible learning is also valuable for the instructor, who can see students’ prior understandings</w:t>
      </w:r>
      <w:r w:rsidR="00005639">
        <w:rPr>
          <w:rFonts w:ascii="Calibri" w:eastAsia="Calibri" w:hAnsi="Calibri" w:cs="Calibri"/>
          <w:sz w:val="24"/>
          <w:szCs w:val="24"/>
        </w:rPr>
        <w:t xml:space="preserve"> and</w:t>
      </w:r>
      <w:r>
        <w:rPr>
          <w:rFonts w:ascii="Calibri" w:eastAsia="Calibri" w:hAnsi="Calibri" w:cs="Calibri"/>
          <w:sz w:val="24"/>
          <w:szCs w:val="24"/>
        </w:rPr>
        <w:t xml:space="preserve"> misconceptions and how their knowledge changes over the course of a lesson. </w:t>
      </w:r>
    </w:p>
    <w:p w14:paraId="01073582" w14:textId="78154843" w:rsidR="00CE6EE2" w:rsidRDefault="00457B5A" w:rsidP="00005639">
      <w:pPr>
        <w:spacing w:before="240" w:after="200" w:line="240" w:lineRule="auto"/>
        <w:rPr>
          <w:rFonts w:ascii="Calibri" w:eastAsia="Calibri" w:hAnsi="Calibri" w:cs="Calibri"/>
          <w:b/>
          <w:sz w:val="28"/>
          <w:szCs w:val="28"/>
        </w:rPr>
      </w:pPr>
      <w:r>
        <w:rPr>
          <w:rFonts w:ascii="Calibri" w:eastAsia="Calibri" w:hAnsi="Calibri" w:cs="Calibri"/>
          <w:b/>
          <w:sz w:val="28"/>
          <w:szCs w:val="28"/>
        </w:rPr>
        <w:t xml:space="preserve">Practice Regulating Conflict </w:t>
      </w:r>
      <w:r w:rsidR="00B44434">
        <w:rPr>
          <w:rFonts w:ascii="Calibri" w:eastAsia="Calibri" w:hAnsi="Calibri" w:cs="Calibri"/>
          <w:b/>
          <w:sz w:val="28"/>
          <w:szCs w:val="28"/>
        </w:rPr>
        <w:t>a</w:t>
      </w:r>
      <w:r>
        <w:rPr>
          <w:rFonts w:ascii="Calibri" w:eastAsia="Calibri" w:hAnsi="Calibri" w:cs="Calibri"/>
          <w:b/>
          <w:sz w:val="28"/>
          <w:szCs w:val="28"/>
        </w:rPr>
        <w:t xml:space="preserve">nd </w:t>
      </w:r>
      <w:r>
        <w:rPr>
          <w:rFonts w:ascii="Calibri" w:eastAsia="Calibri" w:hAnsi="Calibri" w:cs="Calibri"/>
          <w:b/>
          <w:sz w:val="28"/>
          <w:szCs w:val="28"/>
        </w:rPr>
        <w:br/>
        <w:t xml:space="preserve">Solving Problems </w:t>
      </w:r>
    </w:p>
    <w:p w14:paraId="01073584" w14:textId="5CDD7FE5" w:rsidR="00CE6EE2" w:rsidRPr="00B44434" w:rsidRDefault="00B44434">
      <w:pPr>
        <w:rPr>
          <w:rFonts w:ascii="Calibri" w:eastAsia="Calibri" w:hAnsi="Calibri" w:cs="Calibri"/>
          <w:sz w:val="24"/>
          <w:szCs w:val="24"/>
        </w:rPr>
      </w:pPr>
      <w:r>
        <w:rPr>
          <w:rFonts w:ascii="Calibri" w:eastAsia="Calibri" w:hAnsi="Calibri" w:cs="Calibri"/>
          <w:sz w:val="24"/>
          <w:szCs w:val="24"/>
        </w:rPr>
        <w:t xml:space="preserve">When considering if and how to construct group activities in the classroom, teachers </w:t>
      </w:r>
      <w:r w:rsidR="00005639">
        <w:rPr>
          <w:rFonts w:ascii="Calibri" w:eastAsia="Calibri" w:hAnsi="Calibri" w:cs="Calibri"/>
          <w:sz w:val="24"/>
          <w:szCs w:val="24"/>
        </w:rPr>
        <w:t xml:space="preserve">often </w:t>
      </w:r>
      <w:r>
        <w:rPr>
          <w:rFonts w:ascii="Calibri" w:eastAsia="Calibri" w:hAnsi="Calibri" w:cs="Calibri"/>
          <w:sz w:val="24"/>
          <w:szCs w:val="24"/>
        </w:rPr>
        <w:t xml:space="preserve">consider relational conflicts </w:t>
      </w:r>
      <w:r w:rsidR="00005639">
        <w:rPr>
          <w:rFonts w:ascii="Calibri" w:eastAsia="Calibri" w:hAnsi="Calibri" w:cs="Calibri"/>
          <w:sz w:val="24"/>
          <w:szCs w:val="24"/>
        </w:rPr>
        <w:t xml:space="preserve">as </w:t>
      </w:r>
      <w:r>
        <w:rPr>
          <w:rFonts w:ascii="Calibri" w:eastAsia="Calibri" w:hAnsi="Calibri" w:cs="Calibri"/>
          <w:sz w:val="24"/>
          <w:szCs w:val="24"/>
        </w:rPr>
        <w:t>a threat to cooperation (</w:t>
      </w:r>
      <w:proofErr w:type="spellStart"/>
      <w:r>
        <w:rPr>
          <w:rFonts w:ascii="Calibri" w:eastAsia="Calibri" w:hAnsi="Calibri" w:cs="Calibri"/>
          <w:sz w:val="24"/>
          <w:szCs w:val="24"/>
        </w:rPr>
        <w:t>Koutselini</w:t>
      </w:r>
      <w:proofErr w:type="spellEnd"/>
      <w:r>
        <w:rPr>
          <w:rFonts w:ascii="Calibri" w:eastAsia="Calibri" w:hAnsi="Calibri" w:cs="Calibri"/>
          <w:sz w:val="24"/>
          <w:szCs w:val="24"/>
        </w:rPr>
        <w:t>, 2008). However, meaningful intellectual conflict can be constructed in such a way that it outweighs and mediates the presence of other kinds of conflict (Johnson &amp; Johnson, 2009). In one study where students worked in groups to solve a complex mathematics problem, disagreements tended to increase the likelihood of correct contributions and better rationales to problem</w:t>
      </w:r>
      <w:r w:rsidR="00005639">
        <w:rPr>
          <w:rFonts w:ascii="Calibri" w:eastAsia="Calibri" w:hAnsi="Calibri" w:cs="Calibri"/>
          <w:sz w:val="24"/>
          <w:szCs w:val="24"/>
        </w:rPr>
        <w:t xml:space="preserve"> </w:t>
      </w:r>
      <w:r>
        <w:rPr>
          <w:rFonts w:ascii="Calibri" w:eastAsia="Calibri" w:hAnsi="Calibri" w:cs="Calibri"/>
          <w:sz w:val="24"/>
          <w:szCs w:val="24"/>
        </w:rPr>
        <w:t>solving, so long as students were polite (Chi</w:t>
      </w:r>
      <w:r w:rsidR="00D52AB7">
        <w:rPr>
          <w:rFonts w:ascii="Calibri" w:eastAsia="Calibri" w:hAnsi="Calibri" w:cs="Calibri"/>
          <w:sz w:val="24"/>
          <w:szCs w:val="24"/>
        </w:rPr>
        <w:t>u</w:t>
      </w:r>
      <w:r>
        <w:rPr>
          <w:rFonts w:ascii="Calibri" w:eastAsia="Calibri" w:hAnsi="Calibri" w:cs="Calibri"/>
          <w:sz w:val="24"/>
          <w:szCs w:val="24"/>
        </w:rPr>
        <w:t xml:space="preserve">, 2008). In another study where treatment groups were exposed to minority contributions that were both correct and incorrect in relation to the problem, these groups’ solutions reached deeper and more nuanced justifications than in control groups with no minority contribution (Nemeth &amp; </w:t>
      </w:r>
      <w:proofErr w:type="spellStart"/>
      <w:r>
        <w:rPr>
          <w:rFonts w:ascii="Calibri" w:eastAsia="Calibri" w:hAnsi="Calibri" w:cs="Calibri"/>
          <w:sz w:val="24"/>
          <w:szCs w:val="24"/>
        </w:rPr>
        <w:t>Wach</w:t>
      </w:r>
      <w:r w:rsidR="00D52AB7">
        <w:rPr>
          <w:rFonts w:ascii="Calibri" w:eastAsia="Calibri" w:hAnsi="Calibri" w:cs="Calibri"/>
          <w:sz w:val="24"/>
          <w:szCs w:val="24"/>
        </w:rPr>
        <w:t>t</w:t>
      </w:r>
      <w:r>
        <w:rPr>
          <w:rFonts w:ascii="Calibri" w:eastAsia="Calibri" w:hAnsi="Calibri" w:cs="Calibri"/>
          <w:sz w:val="24"/>
          <w:szCs w:val="24"/>
        </w:rPr>
        <w:t>ler</w:t>
      </w:r>
      <w:proofErr w:type="spellEnd"/>
      <w:r>
        <w:rPr>
          <w:rFonts w:ascii="Calibri" w:eastAsia="Calibri" w:hAnsi="Calibri" w:cs="Calibri"/>
          <w:sz w:val="24"/>
          <w:szCs w:val="24"/>
        </w:rPr>
        <w:t>, 1983). Both cases suggest that intellectual conflict is beneficial to academic outcomes, such as representing complexity in problem</w:t>
      </w:r>
      <w:r w:rsidR="00005639">
        <w:rPr>
          <w:rFonts w:ascii="Calibri" w:eastAsia="Calibri" w:hAnsi="Calibri" w:cs="Calibri"/>
          <w:sz w:val="24"/>
          <w:szCs w:val="24"/>
        </w:rPr>
        <w:t xml:space="preserve"> </w:t>
      </w:r>
      <w:r>
        <w:rPr>
          <w:rFonts w:ascii="Calibri" w:eastAsia="Calibri" w:hAnsi="Calibri" w:cs="Calibri"/>
          <w:sz w:val="24"/>
          <w:szCs w:val="24"/>
        </w:rPr>
        <w:t>solving and synthesizing diverse perspectives.</w:t>
      </w:r>
    </w:p>
    <w:p w14:paraId="6F5452B5" w14:textId="77777777" w:rsidR="00005639" w:rsidRDefault="00005639">
      <w:pPr>
        <w:rPr>
          <w:rFonts w:ascii="Calibri" w:eastAsia="Calibri" w:hAnsi="Calibri" w:cs="Calibri"/>
          <w:b/>
          <w:sz w:val="28"/>
          <w:szCs w:val="28"/>
        </w:rPr>
      </w:pPr>
      <w:r>
        <w:rPr>
          <w:rFonts w:ascii="Calibri" w:eastAsia="Calibri" w:hAnsi="Calibri" w:cs="Calibri"/>
          <w:b/>
          <w:sz w:val="28"/>
          <w:szCs w:val="28"/>
        </w:rPr>
        <w:br w:type="page"/>
      </w:r>
    </w:p>
    <w:p w14:paraId="01073585" w14:textId="74334E6B" w:rsidR="00CE6EE2" w:rsidRDefault="00B44434" w:rsidP="00005639">
      <w:pPr>
        <w:spacing w:before="240"/>
        <w:rPr>
          <w:rFonts w:ascii="Calibri" w:eastAsia="Calibri" w:hAnsi="Calibri" w:cs="Calibri"/>
          <w:b/>
          <w:sz w:val="28"/>
          <w:szCs w:val="28"/>
        </w:rPr>
      </w:pPr>
      <w:r>
        <w:rPr>
          <w:rFonts w:ascii="Calibri" w:eastAsia="Calibri" w:hAnsi="Calibri" w:cs="Calibri"/>
          <w:b/>
          <w:sz w:val="28"/>
          <w:szCs w:val="28"/>
        </w:rPr>
        <w:lastRenderedPageBreak/>
        <w:t>Conclusion</w:t>
      </w:r>
    </w:p>
    <w:p w14:paraId="01073586" w14:textId="6A940598" w:rsidR="00CE6EE2" w:rsidRDefault="00B44434">
      <w:pPr>
        <w:spacing w:before="200"/>
        <w:rPr>
          <w:rFonts w:ascii="Calibri" w:eastAsia="Calibri" w:hAnsi="Calibri" w:cs="Calibri"/>
          <w:sz w:val="24"/>
          <w:szCs w:val="24"/>
        </w:rPr>
        <w:sectPr w:rsidR="00CE6EE2">
          <w:type w:val="continuous"/>
          <w:pgSz w:w="12240" w:h="15840"/>
          <w:pgMar w:top="1080" w:right="1440" w:bottom="1440" w:left="1440" w:header="720" w:footer="720" w:gutter="0"/>
          <w:cols w:num="2" w:space="720" w:equalWidth="0">
            <w:col w:w="4500" w:space="360"/>
            <w:col w:w="4500" w:space="0"/>
          </w:cols>
        </w:sectPr>
      </w:pPr>
      <w:r>
        <w:rPr>
          <w:rFonts w:ascii="Calibri" w:eastAsia="Calibri" w:hAnsi="Calibri" w:cs="Calibri"/>
          <w:sz w:val="24"/>
          <w:szCs w:val="24"/>
        </w:rPr>
        <w:t xml:space="preserve">Giving students time and space in the classroom for conversation can </w:t>
      </w:r>
      <w:r w:rsidR="00005639">
        <w:rPr>
          <w:rFonts w:ascii="Calibri" w:eastAsia="Calibri" w:hAnsi="Calibri" w:cs="Calibri"/>
          <w:sz w:val="24"/>
          <w:szCs w:val="24"/>
        </w:rPr>
        <w:t>result in</w:t>
      </w:r>
      <w:r>
        <w:rPr>
          <w:rFonts w:ascii="Calibri" w:eastAsia="Calibri" w:hAnsi="Calibri" w:cs="Calibri"/>
          <w:sz w:val="24"/>
          <w:szCs w:val="24"/>
        </w:rPr>
        <w:t xml:space="preserve"> academic benefits for students and </w:t>
      </w:r>
      <w:r w:rsidR="003557FA">
        <w:rPr>
          <w:rFonts w:ascii="Calibri" w:eastAsia="Calibri" w:hAnsi="Calibri" w:cs="Calibri"/>
          <w:sz w:val="24"/>
          <w:szCs w:val="24"/>
        </w:rPr>
        <w:t xml:space="preserve">additional benefits for </w:t>
      </w:r>
      <w:r>
        <w:rPr>
          <w:rFonts w:ascii="Calibri" w:eastAsia="Calibri" w:hAnsi="Calibri" w:cs="Calibri"/>
          <w:sz w:val="24"/>
          <w:szCs w:val="24"/>
        </w:rPr>
        <w:t>teachers. When student conversation</w:t>
      </w:r>
      <w:r w:rsidR="003557FA">
        <w:rPr>
          <w:rFonts w:ascii="Calibri" w:eastAsia="Calibri" w:hAnsi="Calibri" w:cs="Calibri"/>
          <w:sz w:val="24"/>
          <w:szCs w:val="24"/>
        </w:rPr>
        <w:t>s</w:t>
      </w:r>
      <w:r>
        <w:rPr>
          <w:rFonts w:ascii="Calibri" w:eastAsia="Calibri" w:hAnsi="Calibri" w:cs="Calibri"/>
          <w:sz w:val="24"/>
          <w:szCs w:val="24"/>
        </w:rPr>
        <w:t xml:space="preserve"> </w:t>
      </w:r>
      <w:r w:rsidR="003557FA">
        <w:rPr>
          <w:rFonts w:ascii="Calibri" w:eastAsia="Calibri" w:hAnsi="Calibri" w:cs="Calibri"/>
          <w:sz w:val="24"/>
          <w:szCs w:val="24"/>
        </w:rPr>
        <w:t>are</w:t>
      </w:r>
      <w:r>
        <w:rPr>
          <w:rFonts w:ascii="Calibri" w:eastAsia="Calibri" w:hAnsi="Calibri" w:cs="Calibri"/>
          <w:sz w:val="24"/>
          <w:szCs w:val="24"/>
        </w:rPr>
        <w:t xml:space="preserve"> an integrated part of the learning, students can practice working with others, being accountable to others, listening, sharing their ideas in ways that others can understand, and working together to make </w:t>
      </w:r>
      <w:r>
        <w:rPr>
          <w:rFonts w:ascii="Calibri" w:eastAsia="Calibri" w:hAnsi="Calibri" w:cs="Calibri"/>
          <w:sz w:val="24"/>
          <w:szCs w:val="24"/>
        </w:rPr>
        <w:t>decisions (Gillies, 2016; Resnick, Michaels, &amp; Connor, 2010; Gibbs, 2006). The learning that results from student conversations increases student motivation, self-esteem, and problem-solving outcomes. For teachers, giving students a space to speak gives insight into how students are organizing their thoughts and can serve as</w:t>
      </w:r>
      <w:r w:rsidR="003557FA">
        <w:rPr>
          <w:rFonts w:ascii="Calibri" w:eastAsia="Calibri" w:hAnsi="Calibri" w:cs="Calibri"/>
          <w:sz w:val="24"/>
          <w:szCs w:val="24"/>
        </w:rPr>
        <w:t xml:space="preserve"> a</w:t>
      </w:r>
      <w:r>
        <w:rPr>
          <w:rFonts w:ascii="Calibri" w:eastAsia="Calibri" w:hAnsi="Calibri" w:cs="Calibri"/>
          <w:sz w:val="24"/>
          <w:szCs w:val="24"/>
        </w:rPr>
        <w:t xml:space="preserve"> formative assessment of what students are learning over the course of a lesson.</w:t>
      </w:r>
    </w:p>
    <w:p w14:paraId="01073587" w14:textId="77777777" w:rsidR="00CE6EE2" w:rsidRDefault="00CE6EE2">
      <w:pPr>
        <w:pStyle w:val="Heading2"/>
        <w:spacing w:line="240" w:lineRule="auto"/>
        <w:rPr>
          <w:rFonts w:ascii="Calibri" w:eastAsia="Calibri" w:hAnsi="Calibri" w:cs="Calibri"/>
          <w:b/>
          <w:sz w:val="24"/>
          <w:szCs w:val="24"/>
        </w:rPr>
        <w:sectPr w:rsidR="00CE6EE2">
          <w:type w:val="continuous"/>
          <w:pgSz w:w="12240" w:h="15840"/>
          <w:pgMar w:top="1440" w:right="1440" w:bottom="1440" w:left="1440" w:header="720" w:footer="720" w:gutter="0"/>
          <w:cols w:space="720"/>
        </w:sectPr>
      </w:pPr>
      <w:bookmarkStart w:id="1" w:name="_5p5wd0hb14eb" w:colFirst="0" w:colLast="0"/>
      <w:bookmarkEnd w:id="1"/>
    </w:p>
    <w:p w14:paraId="01073588" w14:textId="2860E7A3" w:rsidR="00CE6EE2" w:rsidRDefault="00B44434">
      <w:pPr>
        <w:pStyle w:val="Heading2"/>
        <w:spacing w:line="240" w:lineRule="auto"/>
        <w:rPr>
          <w:rFonts w:ascii="Calibri" w:eastAsia="Calibri" w:hAnsi="Calibri" w:cs="Calibri"/>
          <w:sz w:val="28"/>
          <w:szCs w:val="28"/>
          <w:highlight w:val="white"/>
        </w:rPr>
      </w:pPr>
      <w:bookmarkStart w:id="2" w:name="_r7ko7jeg9d71" w:colFirst="0" w:colLast="0"/>
      <w:bookmarkEnd w:id="2"/>
      <w:r>
        <w:rPr>
          <w:rFonts w:ascii="Calibri" w:eastAsia="Calibri" w:hAnsi="Calibri" w:cs="Calibri"/>
          <w:b/>
          <w:sz w:val="28"/>
          <w:szCs w:val="28"/>
        </w:rPr>
        <w:t>References</w:t>
      </w:r>
    </w:p>
    <w:p w14:paraId="01073589" w14:textId="7B46CA19" w:rsidR="00CE6EE2" w:rsidRPr="00005639" w:rsidRDefault="00B44434" w:rsidP="00C62D27">
      <w:pPr>
        <w:pStyle w:val="Citation"/>
        <w:rPr>
          <w:rFonts w:asciiTheme="majorHAnsi" w:hAnsiTheme="majorHAnsi" w:cstheme="majorHAnsi"/>
          <w:i w:val="0"/>
          <w:iCs/>
        </w:rPr>
      </w:pPr>
      <w:r w:rsidRPr="00005639">
        <w:rPr>
          <w:rFonts w:asciiTheme="majorHAnsi" w:hAnsiTheme="majorHAnsi" w:cstheme="majorHAnsi"/>
          <w:i w:val="0"/>
          <w:iCs/>
        </w:rPr>
        <w:t>Chiu, M. M. (2008). Flowing toward correct contributions during group problem solving: A statistical discourse analysis.</w:t>
      </w:r>
      <w:r w:rsidRPr="00005639">
        <w:rPr>
          <w:rFonts w:asciiTheme="majorHAnsi" w:hAnsiTheme="majorHAnsi" w:cstheme="majorHAnsi"/>
        </w:rPr>
        <w:t xml:space="preserve"> Journal</w:t>
      </w:r>
      <w:r w:rsidR="0084128E" w:rsidRPr="00005639">
        <w:rPr>
          <w:rFonts w:asciiTheme="majorHAnsi" w:hAnsiTheme="majorHAnsi" w:cstheme="majorHAnsi"/>
        </w:rPr>
        <w:t xml:space="preserve"> of Learning Sciences, 17</w:t>
      </w:r>
      <w:r w:rsidR="0084128E" w:rsidRPr="00005639">
        <w:rPr>
          <w:rFonts w:asciiTheme="majorHAnsi" w:hAnsiTheme="majorHAnsi" w:cstheme="majorHAnsi"/>
          <w:i w:val="0"/>
          <w:iCs/>
        </w:rPr>
        <w:t>(3), 415–463.</w:t>
      </w:r>
    </w:p>
    <w:p w14:paraId="41347F01" w14:textId="6D7F5CCC" w:rsidR="00C62D27" w:rsidRPr="00005639" w:rsidRDefault="00C62D27" w:rsidP="00C62D27">
      <w:pPr>
        <w:pStyle w:val="Citation"/>
        <w:rPr>
          <w:rFonts w:asciiTheme="majorHAnsi" w:hAnsiTheme="majorHAnsi" w:cstheme="majorHAnsi"/>
          <w:i w:val="0"/>
          <w:iCs/>
        </w:rPr>
      </w:pPr>
      <w:r w:rsidRPr="00005639">
        <w:rPr>
          <w:rFonts w:asciiTheme="majorHAnsi" w:hAnsiTheme="majorHAnsi" w:cstheme="majorHAnsi"/>
          <w:i w:val="0"/>
          <w:iCs/>
        </w:rPr>
        <w:t>Gibbs, J. (2006).</w:t>
      </w:r>
      <w:r w:rsidRPr="00005639">
        <w:rPr>
          <w:rFonts w:asciiTheme="majorHAnsi" w:hAnsiTheme="majorHAnsi" w:cstheme="majorHAnsi"/>
        </w:rPr>
        <w:t xml:space="preserve"> Reaching all by creating </w:t>
      </w:r>
      <w:r w:rsidR="00005639">
        <w:rPr>
          <w:rFonts w:asciiTheme="majorHAnsi" w:hAnsiTheme="majorHAnsi" w:cstheme="majorHAnsi"/>
        </w:rPr>
        <w:t>t</w:t>
      </w:r>
      <w:r w:rsidRPr="00005639">
        <w:rPr>
          <w:rFonts w:asciiTheme="majorHAnsi" w:hAnsiTheme="majorHAnsi" w:cstheme="majorHAnsi"/>
        </w:rPr>
        <w:t xml:space="preserve">ribes </w:t>
      </w:r>
      <w:r w:rsidR="00005639">
        <w:rPr>
          <w:rFonts w:asciiTheme="majorHAnsi" w:hAnsiTheme="majorHAnsi" w:cstheme="majorHAnsi"/>
        </w:rPr>
        <w:t>l</w:t>
      </w:r>
      <w:r w:rsidRPr="00005639">
        <w:rPr>
          <w:rFonts w:asciiTheme="majorHAnsi" w:hAnsiTheme="majorHAnsi" w:cstheme="majorHAnsi"/>
        </w:rPr>
        <w:t xml:space="preserve">earning </w:t>
      </w:r>
      <w:r w:rsidR="00005639">
        <w:rPr>
          <w:rFonts w:asciiTheme="majorHAnsi" w:hAnsiTheme="majorHAnsi" w:cstheme="majorHAnsi"/>
        </w:rPr>
        <w:t>c</w:t>
      </w:r>
      <w:r w:rsidRPr="00005639">
        <w:rPr>
          <w:rFonts w:asciiTheme="majorHAnsi" w:hAnsiTheme="majorHAnsi" w:cstheme="majorHAnsi"/>
        </w:rPr>
        <w:t>ommunities.</w:t>
      </w:r>
      <w:r w:rsidRPr="00005639">
        <w:rPr>
          <w:rFonts w:asciiTheme="majorHAnsi" w:hAnsiTheme="majorHAnsi" w:cstheme="majorHAnsi"/>
          <w:i w:val="0"/>
          <w:iCs/>
        </w:rPr>
        <w:t xml:space="preserve"> </w:t>
      </w:r>
      <w:proofErr w:type="spellStart"/>
      <w:r w:rsidRPr="00005639">
        <w:rPr>
          <w:rFonts w:asciiTheme="majorHAnsi" w:hAnsiTheme="majorHAnsi" w:cstheme="majorHAnsi"/>
          <w:i w:val="0"/>
          <w:iCs/>
        </w:rPr>
        <w:t>CenterSource</w:t>
      </w:r>
      <w:proofErr w:type="spellEnd"/>
      <w:r w:rsidRPr="00005639">
        <w:rPr>
          <w:rFonts w:asciiTheme="majorHAnsi" w:hAnsiTheme="majorHAnsi" w:cstheme="majorHAnsi"/>
          <w:i w:val="0"/>
          <w:iCs/>
        </w:rPr>
        <w:t xml:space="preserve"> Systems, LLC.</w:t>
      </w:r>
    </w:p>
    <w:p w14:paraId="0107358B" w14:textId="14FCCC40" w:rsidR="00CE6EE2" w:rsidRPr="00005639" w:rsidRDefault="00B44434" w:rsidP="00C62D27">
      <w:pPr>
        <w:pStyle w:val="Citation"/>
        <w:rPr>
          <w:rFonts w:asciiTheme="majorHAnsi" w:hAnsiTheme="majorHAnsi" w:cstheme="majorHAnsi"/>
          <w:i w:val="0"/>
          <w:iCs/>
        </w:rPr>
      </w:pPr>
      <w:r w:rsidRPr="00005639">
        <w:rPr>
          <w:rFonts w:asciiTheme="majorHAnsi" w:hAnsiTheme="majorHAnsi" w:cstheme="majorHAnsi"/>
          <w:i w:val="0"/>
          <w:iCs/>
        </w:rPr>
        <w:t>Gillies, R. (2016). Cooperative learning: Review of research and practice.</w:t>
      </w:r>
      <w:r w:rsidRPr="00005639">
        <w:rPr>
          <w:rFonts w:asciiTheme="majorHAnsi" w:hAnsiTheme="majorHAnsi" w:cstheme="majorHAnsi"/>
        </w:rPr>
        <w:t xml:space="preserve"> Australian Journal of Teacher Education, 41</w:t>
      </w:r>
      <w:r w:rsidRPr="00005639">
        <w:rPr>
          <w:rFonts w:asciiTheme="majorHAnsi" w:hAnsiTheme="majorHAnsi" w:cstheme="majorHAnsi"/>
          <w:i w:val="0"/>
          <w:iCs/>
        </w:rPr>
        <w:t>(3), 39–54. doi:10.14221/ajte.2016v41n3.3</w:t>
      </w:r>
    </w:p>
    <w:p w14:paraId="0107358C" w14:textId="4A17EF67" w:rsidR="00CE6EE2" w:rsidRPr="00005639" w:rsidRDefault="00B44434" w:rsidP="00C62D27">
      <w:pPr>
        <w:pStyle w:val="Citation"/>
        <w:rPr>
          <w:rFonts w:asciiTheme="majorHAnsi" w:hAnsiTheme="majorHAnsi" w:cstheme="majorHAnsi"/>
        </w:rPr>
      </w:pPr>
      <w:r w:rsidRPr="00005639">
        <w:rPr>
          <w:rFonts w:asciiTheme="majorHAnsi" w:hAnsiTheme="majorHAnsi" w:cstheme="majorHAnsi"/>
          <w:i w:val="0"/>
          <w:iCs/>
        </w:rPr>
        <w:t>Huber, R. B., &amp; Snider, A. (2006).</w:t>
      </w:r>
      <w:r w:rsidRPr="00005639">
        <w:rPr>
          <w:rFonts w:asciiTheme="majorHAnsi" w:hAnsiTheme="majorHAnsi" w:cstheme="majorHAnsi"/>
        </w:rPr>
        <w:t xml:space="preserve"> Influencing through argument</w:t>
      </w:r>
      <w:r w:rsidRPr="00005639">
        <w:rPr>
          <w:rFonts w:asciiTheme="majorHAnsi" w:hAnsiTheme="majorHAnsi" w:cstheme="majorHAnsi"/>
          <w:i w:val="0"/>
          <w:iCs/>
        </w:rPr>
        <w:t>. International Debate Education Association.</w:t>
      </w:r>
    </w:p>
    <w:p w14:paraId="0107358D" w14:textId="2BD39521" w:rsidR="00CE6EE2" w:rsidRPr="00005639" w:rsidRDefault="00B44434" w:rsidP="00C62D27">
      <w:pPr>
        <w:pStyle w:val="Citation"/>
        <w:rPr>
          <w:rFonts w:asciiTheme="majorHAnsi" w:hAnsiTheme="majorHAnsi" w:cstheme="majorHAnsi"/>
        </w:rPr>
      </w:pPr>
      <w:r w:rsidRPr="00005639">
        <w:rPr>
          <w:rFonts w:asciiTheme="majorHAnsi" w:hAnsiTheme="majorHAnsi" w:cstheme="majorHAnsi"/>
          <w:i w:val="0"/>
          <w:iCs/>
        </w:rPr>
        <w:t>Johnson, D. W., &amp; Johnson, R. T. (2009). Energizing learning: The instructional power of conflict.</w:t>
      </w:r>
      <w:r w:rsidRPr="00005639">
        <w:rPr>
          <w:rFonts w:asciiTheme="majorHAnsi" w:hAnsiTheme="majorHAnsi" w:cstheme="majorHAnsi"/>
        </w:rPr>
        <w:t xml:space="preserve"> Educational Researcher, 38</w:t>
      </w:r>
      <w:r w:rsidRPr="00005639">
        <w:rPr>
          <w:rFonts w:asciiTheme="majorHAnsi" w:hAnsiTheme="majorHAnsi" w:cstheme="majorHAnsi"/>
          <w:i w:val="0"/>
          <w:iCs/>
        </w:rPr>
        <w:t>(1), 37</w:t>
      </w:r>
      <w:r w:rsidR="006B531D" w:rsidRPr="00005639">
        <w:rPr>
          <w:rFonts w:asciiTheme="majorHAnsi" w:hAnsiTheme="majorHAnsi" w:cstheme="majorHAnsi"/>
          <w:i w:val="0"/>
          <w:iCs/>
        </w:rPr>
        <w:t>–</w:t>
      </w:r>
      <w:r w:rsidRPr="00005639">
        <w:rPr>
          <w:rFonts w:asciiTheme="majorHAnsi" w:hAnsiTheme="majorHAnsi" w:cstheme="majorHAnsi"/>
          <w:i w:val="0"/>
          <w:iCs/>
        </w:rPr>
        <w:t>51. doi:10.3102/0013189x08330540</w:t>
      </w:r>
    </w:p>
    <w:p w14:paraId="0107358E" w14:textId="38805500" w:rsidR="00CE6EE2" w:rsidRPr="00005639" w:rsidRDefault="00B44434" w:rsidP="00C62D27">
      <w:pPr>
        <w:pStyle w:val="Citation"/>
        <w:rPr>
          <w:rFonts w:asciiTheme="majorHAnsi" w:hAnsiTheme="majorHAnsi" w:cstheme="majorHAnsi"/>
          <w:i w:val="0"/>
          <w:iCs/>
        </w:rPr>
      </w:pPr>
      <w:r w:rsidRPr="00005639">
        <w:rPr>
          <w:rFonts w:asciiTheme="majorHAnsi" w:hAnsiTheme="majorHAnsi" w:cstheme="majorHAnsi"/>
          <w:i w:val="0"/>
          <w:iCs/>
        </w:rPr>
        <w:t>Johnson, D. W., &amp; Johnson, R. T. (2009). An educational psychology success story: Social interdependence theory and cooperative learning</w:t>
      </w:r>
      <w:r w:rsidRPr="00005639">
        <w:rPr>
          <w:rFonts w:asciiTheme="majorHAnsi" w:hAnsiTheme="majorHAnsi" w:cstheme="majorHAnsi"/>
        </w:rPr>
        <w:t>. Educational Researcher,</w:t>
      </w:r>
      <w:r w:rsidR="00D52AB7">
        <w:rPr>
          <w:rFonts w:asciiTheme="majorHAnsi" w:hAnsiTheme="majorHAnsi" w:cstheme="majorHAnsi"/>
        </w:rPr>
        <w:t xml:space="preserve"> </w:t>
      </w:r>
      <w:r w:rsidRPr="00005639">
        <w:rPr>
          <w:rFonts w:asciiTheme="majorHAnsi" w:hAnsiTheme="majorHAnsi" w:cstheme="majorHAnsi"/>
        </w:rPr>
        <w:t>38</w:t>
      </w:r>
      <w:r w:rsidRPr="00005639">
        <w:rPr>
          <w:rFonts w:asciiTheme="majorHAnsi" w:hAnsiTheme="majorHAnsi" w:cstheme="majorHAnsi"/>
          <w:i w:val="0"/>
          <w:iCs/>
        </w:rPr>
        <w:t>(5), 365–379. doi:10.3102/0013189x09339057</w:t>
      </w:r>
    </w:p>
    <w:p w14:paraId="0107358F" w14:textId="10F6249E" w:rsidR="00CE6EE2" w:rsidRPr="00005639" w:rsidRDefault="00B44434" w:rsidP="00C62D27">
      <w:pPr>
        <w:pStyle w:val="Citation"/>
        <w:rPr>
          <w:rFonts w:asciiTheme="majorHAnsi" w:hAnsiTheme="majorHAnsi" w:cstheme="majorHAnsi"/>
          <w:i w:val="0"/>
          <w:iCs/>
        </w:rPr>
      </w:pPr>
      <w:proofErr w:type="spellStart"/>
      <w:r w:rsidRPr="00005639">
        <w:rPr>
          <w:rFonts w:asciiTheme="majorHAnsi" w:hAnsiTheme="majorHAnsi" w:cstheme="majorHAnsi"/>
          <w:i w:val="0"/>
          <w:iCs/>
        </w:rPr>
        <w:t>Koutselini</w:t>
      </w:r>
      <w:proofErr w:type="spellEnd"/>
      <w:r w:rsidRPr="00005639">
        <w:rPr>
          <w:rFonts w:asciiTheme="majorHAnsi" w:hAnsiTheme="majorHAnsi" w:cstheme="majorHAnsi"/>
          <w:i w:val="0"/>
          <w:iCs/>
        </w:rPr>
        <w:t>, M. (2009). Teacher misconceptions and understanding of cooperative learning: An intervention study.</w:t>
      </w:r>
      <w:r w:rsidRPr="00005639">
        <w:rPr>
          <w:rFonts w:asciiTheme="majorHAnsi" w:hAnsiTheme="majorHAnsi" w:cstheme="majorHAnsi"/>
        </w:rPr>
        <w:t xml:space="preserve"> The Journal of Classroom Interaction,</w:t>
      </w:r>
      <w:r w:rsidR="00D52AB7">
        <w:rPr>
          <w:rFonts w:asciiTheme="majorHAnsi" w:hAnsiTheme="majorHAnsi" w:cstheme="majorHAnsi"/>
        </w:rPr>
        <w:t xml:space="preserve"> </w:t>
      </w:r>
      <w:r w:rsidRPr="00005639">
        <w:rPr>
          <w:rFonts w:asciiTheme="majorHAnsi" w:hAnsiTheme="majorHAnsi" w:cstheme="majorHAnsi"/>
        </w:rPr>
        <w:t>43</w:t>
      </w:r>
      <w:r w:rsidRPr="00005639">
        <w:rPr>
          <w:rFonts w:asciiTheme="majorHAnsi" w:hAnsiTheme="majorHAnsi" w:cstheme="majorHAnsi"/>
          <w:i w:val="0"/>
          <w:iCs/>
        </w:rPr>
        <w:t>(2), 34–44. Retrieved October 6, 2018, from https://www.jstor.org/stable/23869676.</w:t>
      </w:r>
    </w:p>
    <w:p w14:paraId="01073590" w14:textId="77777777" w:rsidR="00CE6EE2" w:rsidRPr="00005639" w:rsidRDefault="00B44434" w:rsidP="00C62D27">
      <w:pPr>
        <w:pStyle w:val="Citation"/>
        <w:rPr>
          <w:rFonts w:asciiTheme="majorHAnsi" w:hAnsiTheme="majorHAnsi" w:cstheme="majorHAnsi"/>
        </w:rPr>
      </w:pPr>
      <w:r w:rsidRPr="00005639">
        <w:rPr>
          <w:rFonts w:asciiTheme="majorHAnsi" w:hAnsiTheme="majorHAnsi" w:cstheme="majorHAnsi"/>
          <w:i w:val="0"/>
          <w:iCs/>
        </w:rPr>
        <w:t xml:space="preserve">Nemeth, C., &amp; </w:t>
      </w:r>
      <w:proofErr w:type="spellStart"/>
      <w:r w:rsidRPr="00005639">
        <w:rPr>
          <w:rFonts w:asciiTheme="majorHAnsi" w:hAnsiTheme="majorHAnsi" w:cstheme="majorHAnsi"/>
          <w:i w:val="0"/>
          <w:iCs/>
        </w:rPr>
        <w:t>Wachtler</w:t>
      </w:r>
      <w:proofErr w:type="spellEnd"/>
      <w:r w:rsidRPr="00005639">
        <w:rPr>
          <w:rFonts w:asciiTheme="majorHAnsi" w:hAnsiTheme="majorHAnsi" w:cstheme="majorHAnsi"/>
          <w:i w:val="0"/>
          <w:iCs/>
        </w:rPr>
        <w:t>, J. (1983). Creative problem solving as a result of majority vs minority influence</w:t>
      </w:r>
      <w:r w:rsidRPr="00005639">
        <w:rPr>
          <w:rFonts w:asciiTheme="majorHAnsi" w:hAnsiTheme="majorHAnsi" w:cstheme="majorHAnsi"/>
        </w:rPr>
        <w:t>. European Journal of Social Psychology, 13</w:t>
      </w:r>
      <w:r w:rsidRPr="00005639">
        <w:rPr>
          <w:rFonts w:asciiTheme="majorHAnsi" w:hAnsiTheme="majorHAnsi" w:cstheme="majorHAnsi"/>
          <w:i w:val="0"/>
          <w:iCs/>
        </w:rPr>
        <w:t>(1), 45–55.</w:t>
      </w:r>
    </w:p>
    <w:p w14:paraId="01073591" w14:textId="77777777" w:rsidR="00CE6EE2" w:rsidRPr="00005639" w:rsidRDefault="00B44434" w:rsidP="00C62D27">
      <w:pPr>
        <w:pStyle w:val="Citation"/>
        <w:rPr>
          <w:rFonts w:asciiTheme="majorHAnsi" w:hAnsiTheme="majorHAnsi" w:cstheme="majorHAnsi"/>
        </w:rPr>
      </w:pPr>
      <w:r w:rsidRPr="00005639">
        <w:rPr>
          <w:rFonts w:asciiTheme="majorHAnsi" w:hAnsiTheme="majorHAnsi" w:cstheme="majorHAnsi"/>
          <w:i w:val="0"/>
          <w:iCs/>
        </w:rPr>
        <w:t xml:space="preserve">Peterson, A. T., &amp; </w:t>
      </w:r>
      <w:proofErr w:type="spellStart"/>
      <w:r w:rsidRPr="00005639">
        <w:rPr>
          <w:rFonts w:asciiTheme="majorHAnsi" w:hAnsiTheme="majorHAnsi" w:cstheme="majorHAnsi"/>
          <w:i w:val="0"/>
          <w:iCs/>
        </w:rPr>
        <w:t>Roseth</w:t>
      </w:r>
      <w:proofErr w:type="spellEnd"/>
      <w:r w:rsidRPr="00005639">
        <w:rPr>
          <w:rFonts w:asciiTheme="majorHAnsi" w:hAnsiTheme="majorHAnsi" w:cstheme="majorHAnsi"/>
          <w:i w:val="0"/>
          <w:iCs/>
        </w:rPr>
        <w:t>, C. J. (2016).</w:t>
      </w:r>
      <w:r w:rsidRPr="00005639">
        <w:rPr>
          <w:rFonts w:asciiTheme="majorHAnsi" w:hAnsiTheme="majorHAnsi" w:cstheme="majorHAnsi"/>
        </w:rPr>
        <w:t xml:space="preserve"> </w:t>
      </w:r>
      <w:r w:rsidRPr="00005639">
        <w:rPr>
          <w:rFonts w:asciiTheme="majorHAnsi" w:hAnsiTheme="majorHAnsi" w:cstheme="majorHAnsi"/>
          <w:i w:val="0"/>
          <w:iCs/>
        </w:rPr>
        <w:t xml:space="preserve">Effects of four CSCL strategies for enhancing online discussion forums: Social interdependence, summarizing, scripts, and synchronicity. </w:t>
      </w:r>
      <w:r w:rsidRPr="00005639">
        <w:rPr>
          <w:rFonts w:asciiTheme="majorHAnsi" w:hAnsiTheme="majorHAnsi" w:cstheme="majorHAnsi"/>
        </w:rPr>
        <w:t>International Journal of Educational Research, 76</w:t>
      </w:r>
      <w:r w:rsidRPr="00005639">
        <w:rPr>
          <w:rFonts w:asciiTheme="majorHAnsi" w:hAnsiTheme="majorHAnsi" w:cstheme="majorHAnsi"/>
          <w:i w:val="0"/>
          <w:iCs/>
        </w:rPr>
        <w:t xml:space="preserve">, 147–161. </w:t>
      </w:r>
      <w:proofErr w:type="gramStart"/>
      <w:r w:rsidRPr="00005639">
        <w:rPr>
          <w:rFonts w:asciiTheme="majorHAnsi" w:hAnsiTheme="majorHAnsi" w:cstheme="majorHAnsi"/>
          <w:i w:val="0"/>
          <w:iCs/>
        </w:rPr>
        <w:t>doi:10.1016/j.ijer</w:t>
      </w:r>
      <w:proofErr w:type="gramEnd"/>
      <w:r w:rsidRPr="00005639">
        <w:rPr>
          <w:rFonts w:asciiTheme="majorHAnsi" w:hAnsiTheme="majorHAnsi" w:cstheme="majorHAnsi"/>
          <w:i w:val="0"/>
          <w:iCs/>
        </w:rPr>
        <w:t>.2015.04.009</w:t>
      </w:r>
    </w:p>
    <w:p w14:paraId="01073592" w14:textId="1AFF6E4A" w:rsidR="00CE6EE2" w:rsidRPr="00005639" w:rsidRDefault="00B44434" w:rsidP="00C62D27">
      <w:pPr>
        <w:pStyle w:val="Citation"/>
        <w:rPr>
          <w:rFonts w:asciiTheme="majorHAnsi" w:hAnsiTheme="majorHAnsi" w:cstheme="majorHAnsi"/>
        </w:rPr>
        <w:sectPr w:rsidR="00CE6EE2" w:rsidRPr="00005639" w:rsidSect="0084128E">
          <w:type w:val="continuous"/>
          <w:pgSz w:w="12240" w:h="15840"/>
          <w:pgMar w:top="1440" w:right="1440" w:bottom="1440" w:left="1440" w:header="720" w:footer="720" w:gutter="0"/>
          <w:cols w:space="720"/>
        </w:sectPr>
      </w:pPr>
      <w:r w:rsidRPr="00005639">
        <w:rPr>
          <w:rFonts w:asciiTheme="majorHAnsi" w:hAnsiTheme="majorHAnsi" w:cstheme="majorHAnsi"/>
          <w:i w:val="0"/>
          <w:iCs/>
        </w:rPr>
        <w:t xml:space="preserve">Sharan, Y. (2010). Cooperative learning for academic and social gains: Valued pedagogy, problematic practice. </w:t>
      </w:r>
      <w:r w:rsidRPr="00005639">
        <w:rPr>
          <w:rFonts w:asciiTheme="majorHAnsi" w:hAnsiTheme="majorHAnsi" w:cstheme="majorHAnsi"/>
        </w:rPr>
        <w:t>European Journal of Education, 45</w:t>
      </w:r>
      <w:r w:rsidRPr="00005639">
        <w:rPr>
          <w:rFonts w:asciiTheme="majorHAnsi" w:hAnsiTheme="majorHAnsi" w:cstheme="majorHAnsi"/>
          <w:i w:val="0"/>
          <w:iCs/>
        </w:rPr>
        <w:t>(2), 300–313. doi:10.1111/j.1465-3435.2010.0143</w:t>
      </w:r>
    </w:p>
    <w:p w14:paraId="2977F8BB" w14:textId="1F625910" w:rsidR="0084128E" w:rsidRDefault="0084128E"/>
    <w:sectPr w:rsidR="0084128E">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56E404" w14:textId="77777777" w:rsidR="0019224A" w:rsidRDefault="0019224A">
      <w:pPr>
        <w:spacing w:line="240" w:lineRule="auto"/>
      </w:pPr>
      <w:r>
        <w:separator/>
      </w:r>
    </w:p>
  </w:endnote>
  <w:endnote w:type="continuationSeparator" w:id="0">
    <w:p w14:paraId="49F3CF75" w14:textId="77777777" w:rsidR="0019224A" w:rsidRDefault="001922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C43B4" w14:textId="77777777" w:rsidR="00D52AB7" w:rsidRDefault="00D52A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735CC" w14:textId="2832B36F" w:rsidR="00CE6EE2" w:rsidRDefault="00457B5A">
    <w:pPr>
      <w:jc w:val="right"/>
    </w:pPr>
    <w:r>
      <w:rPr>
        <w:noProof/>
      </w:rPr>
      <mc:AlternateContent>
        <mc:Choice Requires="wps">
          <w:drawing>
            <wp:anchor distT="45720" distB="45720" distL="114300" distR="114300" simplePos="0" relativeHeight="251659264" behindDoc="0" locked="0" layoutInCell="1" allowOverlap="1" wp14:anchorId="3C1A6B30" wp14:editId="3F887198">
              <wp:simplePos x="0" y="0"/>
              <wp:positionH relativeFrom="column">
                <wp:posOffset>2457451</wp:posOffset>
              </wp:positionH>
              <wp:positionV relativeFrom="paragraph">
                <wp:posOffset>9525</wp:posOffset>
              </wp:positionV>
              <wp:extent cx="2857500" cy="31369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13690"/>
                      </a:xfrm>
                      <a:prstGeom prst="rect">
                        <a:avLst/>
                      </a:prstGeom>
                      <a:noFill/>
                      <a:ln w="9525">
                        <a:noFill/>
                        <a:miter lim="800000"/>
                        <a:headEnd/>
                        <a:tailEnd/>
                      </a:ln>
                    </wps:spPr>
                    <wps:txbx>
                      <w:txbxContent>
                        <w:p w14:paraId="1567E063" w14:textId="3C39CF73" w:rsidR="00457B5A" w:rsidRPr="00457B5A" w:rsidRDefault="00D91003" w:rsidP="00457B5A">
                          <w:pPr>
                            <w:jc w:val="right"/>
                            <w:rPr>
                              <w:rFonts w:asciiTheme="majorHAnsi" w:hAnsiTheme="majorHAnsi" w:cstheme="majorHAnsi"/>
                              <w:b/>
                              <w:bCs/>
                              <w:sz w:val="24"/>
                              <w:szCs w:val="24"/>
                            </w:rPr>
                          </w:pPr>
                          <w:r>
                            <w:rPr>
                              <w:rFonts w:asciiTheme="majorHAnsi" w:hAnsiTheme="majorHAnsi" w:cstheme="majorHAnsi"/>
                              <w:b/>
                              <w:bCs/>
                              <w:sz w:val="24"/>
                              <w:szCs w:val="24"/>
                            </w:rPr>
                            <w:t>WHAT’S EVERYONE TALKING ABOUT?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1A6B30" id="_x0000_t202" coordsize="21600,21600" o:spt="202" path="m,l,21600r21600,l21600,xe">
              <v:stroke joinstyle="miter"/>
              <v:path gradientshapeok="t" o:connecttype="rect"/>
            </v:shapetype>
            <v:shape id="Text Box 2" o:spid="_x0000_s1026" type="#_x0000_t202" style="position:absolute;left:0;text-align:left;margin-left:193.5pt;margin-top:.75pt;width:225pt;height:24.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" filled="f" stroked="f">
              <v:textbox>
                <w:txbxContent>
                  <w:p w14:paraId="1567E063" w14:textId="3C39CF73" w:rsidR="00457B5A" w:rsidRPr="00457B5A" w:rsidRDefault="00D91003" w:rsidP="00457B5A">
                    <w:pPr>
                      <w:jc w:val="right"/>
                      <w:rPr>
                        <w:rFonts w:asciiTheme="majorHAnsi" w:hAnsiTheme="majorHAnsi" w:cstheme="majorHAnsi"/>
                        <w:b/>
                        <w:bCs/>
                        <w:sz w:val="24"/>
                        <w:szCs w:val="24"/>
                      </w:rPr>
                    </w:pPr>
                    <w:r>
                      <w:rPr>
                        <w:rFonts w:asciiTheme="majorHAnsi" w:hAnsiTheme="majorHAnsi" w:cstheme="majorHAnsi"/>
                        <w:b/>
                        <w:bCs/>
                        <w:sz w:val="24"/>
                        <w:szCs w:val="24"/>
                      </w:rPr>
                      <w:t>WHAT’S EVERYONE TALKING ABOUT?</w:t>
                    </w:r>
                  </w:p>
                </w:txbxContent>
              </v:textbox>
            </v:shape>
          </w:pict>
        </mc:Fallback>
      </mc:AlternateContent>
    </w:r>
    <w:r w:rsidR="00B44434">
      <w:rPr>
        <w:noProof/>
      </w:rPr>
      <w:drawing>
        <wp:inline distT="114300" distB="114300" distL="114300" distR="114300" wp14:anchorId="010735CF" wp14:editId="010735D0">
          <wp:extent cx="5904309" cy="414338"/>
          <wp:effectExtent l="0" t="0" r="0" b="0"/>
          <wp:docPr id="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5904309" cy="414338"/>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735CE" w14:textId="77777777" w:rsidR="00CE6EE2" w:rsidRDefault="00CE6EE2">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BC39B1" w14:textId="77777777" w:rsidR="0019224A" w:rsidRDefault="0019224A">
      <w:pPr>
        <w:spacing w:line="240" w:lineRule="auto"/>
      </w:pPr>
      <w:r>
        <w:separator/>
      </w:r>
    </w:p>
  </w:footnote>
  <w:footnote w:type="continuationSeparator" w:id="0">
    <w:p w14:paraId="22E04165" w14:textId="77777777" w:rsidR="0019224A" w:rsidRDefault="001922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DEDBA" w14:textId="77777777" w:rsidR="00D52AB7" w:rsidRDefault="00D52A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735CB" w14:textId="77777777" w:rsidR="00CE6EE2" w:rsidRDefault="00CE6EE2">
    <w:pPr>
      <w:jc w:val="center"/>
      <w:rPr>
        <w:rFonts w:ascii="Times New Roman" w:eastAsia="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735CD" w14:textId="77777777" w:rsidR="00CE6EE2" w:rsidRDefault="00B44434">
    <w:pPr>
      <w:pStyle w:val="Title"/>
      <w:spacing w:line="360" w:lineRule="auto"/>
      <w:rPr>
        <w:rFonts w:ascii="Calibri" w:eastAsia="Calibri" w:hAnsi="Calibri" w:cs="Calibri"/>
        <w:b/>
        <w:color w:val="980000"/>
        <w:sz w:val="48"/>
        <w:szCs w:val="48"/>
      </w:rPr>
    </w:pPr>
    <w:bookmarkStart w:id="0" w:name="_qzdnfr6bqks8" w:colFirst="0" w:colLast="0"/>
    <w:bookmarkEnd w:id="0"/>
    <w:r>
      <w:rPr>
        <w:rFonts w:ascii="Calibri" w:eastAsia="Calibri" w:hAnsi="Calibri" w:cs="Calibri"/>
        <w:b/>
        <w:color w:val="980000"/>
        <w:sz w:val="48"/>
        <w:szCs w:val="48"/>
      </w:rPr>
      <w:t>Student Conversations ARE Learning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EE2"/>
    <w:rsid w:val="00005639"/>
    <w:rsid w:val="00102EC3"/>
    <w:rsid w:val="00112D43"/>
    <w:rsid w:val="0019224A"/>
    <w:rsid w:val="003557FA"/>
    <w:rsid w:val="00397229"/>
    <w:rsid w:val="00457B5A"/>
    <w:rsid w:val="005403A1"/>
    <w:rsid w:val="006B531D"/>
    <w:rsid w:val="007628BE"/>
    <w:rsid w:val="007911CF"/>
    <w:rsid w:val="007B144A"/>
    <w:rsid w:val="0084128E"/>
    <w:rsid w:val="009A76F5"/>
    <w:rsid w:val="00B44434"/>
    <w:rsid w:val="00C03D2B"/>
    <w:rsid w:val="00C62D27"/>
    <w:rsid w:val="00CE6EE2"/>
    <w:rsid w:val="00D52AB7"/>
    <w:rsid w:val="00D91003"/>
    <w:rsid w:val="00DC5C03"/>
    <w:rsid w:val="00F57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073579"/>
  <w15:docId w15:val="{3B81A13B-B05F-4068-885D-DA52CF16D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57B5A"/>
    <w:pPr>
      <w:tabs>
        <w:tab w:val="center" w:pos="4680"/>
        <w:tab w:val="right" w:pos="9360"/>
      </w:tabs>
      <w:spacing w:line="240" w:lineRule="auto"/>
    </w:pPr>
  </w:style>
  <w:style w:type="character" w:customStyle="1" w:styleId="HeaderChar">
    <w:name w:val="Header Char"/>
    <w:basedOn w:val="DefaultParagraphFont"/>
    <w:link w:val="Header"/>
    <w:uiPriority w:val="99"/>
    <w:rsid w:val="00457B5A"/>
  </w:style>
  <w:style w:type="paragraph" w:styleId="Footer">
    <w:name w:val="footer"/>
    <w:basedOn w:val="Normal"/>
    <w:link w:val="FooterChar"/>
    <w:uiPriority w:val="99"/>
    <w:unhideWhenUsed/>
    <w:rsid w:val="00457B5A"/>
    <w:pPr>
      <w:tabs>
        <w:tab w:val="center" w:pos="4680"/>
        <w:tab w:val="right" w:pos="9360"/>
      </w:tabs>
      <w:spacing w:line="240" w:lineRule="auto"/>
    </w:pPr>
  </w:style>
  <w:style w:type="character" w:customStyle="1" w:styleId="FooterChar">
    <w:name w:val="Footer Char"/>
    <w:basedOn w:val="DefaultParagraphFont"/>
    <w:link w:val="Footer"/>
    <w:uiPriority w:val="99"/>
    <w:rsid w:val="00457B5A"/>
  </w:style>
  <w:style w:type="paragraph" w:customStyle="1" w:styleId="CaptionCutline">
    <w:name w:val="Caption/Cutline"/>
    <w:basedOn w:val="CommentText"/>
    <w:link w:val="CaptionCutlineChar"/>
    <w:qFormat/>
    <w:rsid w:val="00C62D27"/>
    <w:rPr>
      <w:rFonts w:asciiTheme="minorHAnsi" w:eastAsiaTheme="minorHAnsi" w:hAnsiTheme="minorHAnsi" w:cstheme="minorBidi"/>
      <w:i/>
      <w:color w:val="626262"/>
      <w:sz w:val="18"/>
      <w:lang w:val="en-US"/>
    </w:rPr>
  </w:style>
  <w:style w:type="character" w:customStyle="1" w:styleId="CaptionCutlineChar">
    <w:name w:val="Caption/Cutline Char"/>
    <w:basedOn w:val="CommentTextChar"/>
    <w:link w:val="CaptionCutline"/>
    <w:rsid w:val="00C62D27"/>
    <w:rPr>
      <w:rFonts w:asciiTheme="minorHAnsi" w:eastAsiaTheme="minorHAnsi" w:hAnsiTheme="minorHAnsi" w:cstheme="minorBidi"/>
      <w:i/>
      <w:color w:val="626262"/>
      <w:sz w:val="18"/>
      <w:szCs w:val="20"/>
      <w:lang w:val="en-US"/>
    </w:rPr>
  </w:style>
  <w:style w:type="paragraph" w:styleId="CommentText">
    <w:name w:val="annotation text"/>
    <w:basedOn w:val="Normal"/>
    <w:link w:val="CommentTextChar"/>
    <w:uiPriority w:val="99"/>
    <w:semiHidden/>
    <w:unhideWhenUsed/>
    <w:rsid w:val="00C62D27"/>
    <w:pPr>
      <w:spacing w:line="240" w:lineRule="auto"/>
    </w:pPr>
    <w:rPr>
      <w:sz w:val="20"/>
      <w:szCs w:val="20"/>
    </w:rPr>
  </w:style>
  <w:style w:type="character" w:customStyle="1" w:styleId="CommentTextChar">
    <w:name w:val="Comment Text Char"/>
    <w:basedOn w:val="DefaultParagraphFont"/>
    <w:link w:val="CommentText"/>
    <w:uiPriority w:val="99"/>
    <w:semiHidden/>
    <w:rsid w:val="00C62D27"/>
    <w:rPr>
      <w:sz w:val="20"/>
      <w:szCs w:val="20"/>
    </w:rPr>
  </w:style>
  <w:style w:type="paragraph" w:customStyle="1" w:styleId="Citation">
    <w:name w:val="Citation"/>
    <w:basedOn w:val="Normal"/>
    <w:next w:val="FootnoteText"/>
    <w:qFormat/>
    <w:rsid w:val="00C62D27"/>
    <w:pPr>
      <w:spacing w:after="120"/>
      <w:ind w:left="720" w:hanging="720"/>
    </w:pPr>
    <w:rPr>
      <w:rFonts w:asciiTheme="minorHAnsi" w:eastAsiaTheme="minorHAnsi" w:hAnsiTheme="minorHAnsi" w:cstheme="minorBidi"/>
      <w:i/>
      <w:color w:val="3E5C61"/>
      <w:sz w:val="18"/>
      <w:lang w:val="en-US"/>
    </w:rPr>
  </w:style>
  <w:style w:type="paragraph" w:styleId="FootnoteText">
    <w:name w:val="footnote text"/>
    <w:basedOn w:val="Normal"/>
    <w:link w:val="FootnoteTextChar"/>
    <w:uiPriority w:val="99"/>
    <w:semiHidden/>
    <w:unhideWhenUsed/>
    <w:rsid w:val="00C62D27"/>
    <w:pPr>
      <w:spacing w:line="240" w:lineRule="auto"/>
    </w:pPr>
    <w:rPr>
      <w:sz w:val="20"/>
      <w:szCs w:val="20"/>
    </w:rPr>
  </w:style>
  <w:style w:type="character" w:customStyle="1" w:styleId="FootnoteTextChar">
    <w:name w:val="Footnote Text Char"/>
    <w:basedOn w:val="DefaultParagraphFont"/>
    <w:link w:val="FootnoteText"/>
    <w:uiPriority w:val="99"/>
    <w:semiHidden/>
    <w:rsid w:val="00C62D2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K20 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781</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What's Everyone Talking About?</dc:title>
  <dc:creator>K20 Center</dc:creator>
  <cp:lastModifiedBy>Schwarz, Daniel J.</cp:lastModifiedBy>
  <cp:revision>2</cp:revision>
  <dcterms:created xsi:type="dcterms:W3CDTF">2020-12-28T22:50:00Z</dcterms:created>
  <dcterms:modified xsi:type="dcterms:W3CDTF">2020-12-28T22:50:00Z</dcterms:modified>
</cp:coreProperties>
</file>