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A6B15" w14:textId="77777777" w:rsidR="00851179" w:rsidRDefault="00851179" w:rsidP="00851179">
      <w:pPr>
        <w:pStyle w:val="Title"/>
      </w:pPr>
      <w:bookmarkStart w:id="0" w:name="_heading=h.gjdgxs" w:colFirst="0" w:colLast="0"/>
      <w:bookmarkEnd w:id="0"/>
      <w:r>
        <w:t>Card Sort - ELA</w:t>
      </w:r>
    </w:p>
    <w:tbl>
      <w:tblPr>
        <w:tblW w:w="9725" w:type="dxa"/>
        <w:tblInd w:w="-10" w:type="dxa"/>
        <w:tblBorders>
          <w:top w:val="dashed" w:sz="12" w:space="0" w:color="3E5C61"/>
          <w:left w:val="dashed" w:sz="12" w:space="0" w:color="3E5C61"/>
          <w:bottom w:val="dashed" w:sz="12" w:space="0" w:color="3E5C61"/>
          <w:right w:val="dashed" w:sz="12" w:space="0" w:color="3E5C61"/>
          <w:insideH w:val="dashed" w:sz="12" w:space="0" w:color="3E5C61"/>
          <w:insideV w:val="dashed" w:sz="12" w:space="0" w:color="3E5C61"/>
        </w:tblBorders>
        <w:tblLayout w:type="fixed"/>
        <w:tblLook w:val="0400" w:firstRow="0" w:lastRow="0" w:firstColumn="0" w:lastColumn="0" w:noHBand="0" w:noVBand="1"/>
      </w:tblPr>
      <w:tblGrid>
        <w:gridCol w:w="3241"/>
        <w:gridCol w:w="3242"/>
        <w:gridCol w:w="3242"/>
      </w:tblGrid>
      <w:tr w:rsidR="00851179" w14:paraId="46BD22A5" w14:textId="77777777" w:rsidTr="00851179">
        <w:trPr>
          <w:trHeight w:val="2160"/>
        </w:trPr>
        <w:tc>
          <w:tcPr>
            <w:tcW w:w="3241" w:type="dxa"/>
            <w:tcBorders>
              <w:top w:val="dashed" w:sz="12" w:space="0" w:color="288AC3" w:themeColor="accent1"/>
              <w:left w:val="dashed" w:sz="12" w:space="0" w:color="288AC3" w:themeColor="accent1"/>
              <w:bottom w:val="dashed" w:sz="12" w:space="0" w:color="288AC3" w:themeColor="accent1"/>
              <w:right w:val="dashed" w:sz="12" w:space="0" w:color="288AC3" w:themeColor="accent1"/>
            </w:tcBorders>
            <w:shd w:val="clear" w:color="auto" w:fill="FFFFFF"/>
            <w:vAlign w:val="center"/>
          </w:tcPr>
          <w:p w14:paraId="6E0AF7F1" w14:textId="77777777" w:rsidR="00851179" w:rsidRDefault="00851179" w:rsidP="00B54154">
            <w:pPr>
              <w:jc w:val="center"/>
              <w:rPr>
                <w:color w:val="910D28"/>
                <w:sz w:val="22"/>
                <w:szCs w:val="22"/>
              </w:rPr>
            </w:pPr>
            <w:r>
              <w:rPr>
                <w:sz w:val="22"/>
                <w:szCs w:val="22"/>
              </w:rPr>
              <w:t>Students describe hidden objects for their peers as their peers draw what they believe to be the object. Comparisons are made, and the idea of sensory imagery is discussed.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242" w:type="dxa"/>
            <w:tcBorders>
              <w:top w:val="dashed" w:sz="12" w:space="0" w:color="288AC3" w:themeColor="accent1"/>
              <w:left w:val="dashed" w:sz="12" w:space="0" w:color="288AC3" w:themeColor="accent1"/>
              <w:bottom w:val="dashed" w:sz="12" w:space="0" w:color="288AC3" w:themeColor="accent1"/>
              <w:right w:val="dashed" w:sz="12" w:space="0" w:color="288AC3" w:themeColor="accent1"/>
            </w:tcBorders>
            <w:shd w:val="clear" w:color="auto" w:fill="FFFFFF"/>
            <w:vAlign w:val="center"/>
          </w:tcPr>
          <w:p w14:paraId="35D6C75F" w14:textId="77777777" w:rsidR="00851179" w:rsidRDefault="00851179" w:rsidP="00B54154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Engage</w:t>
            </w:r>
          </w:p>
        </w:tc>
        <w:tc>
          <w:tcPr>
            <w:tcW w:w="3242" w:type="dxa"/>
            <w:tcBorders>
              <w:top w:val="dashed" w:sz="12" w:space="0" w:color="288AC3" w:themeColor="accent1"/>
              <w:left w:val="dashed" w:sz="12" w:space="0" w:color="288AC3" w:themeColor="accent1"/>
              <w:bottom w:val="dashed" w:sz="12" w:space="0" w:color="288AC3" w:themeColor="accent1"/>
              <w:right w:val="dashed" w:sz="12" w:space="0" w:color="288AC3" w:themeColor="accent1"/>
            </w:tcBorders>
            <w:shd w:val="clear" w:color="auto" w:fill="FFFFFF"/>
            <w:vAlign w:val="center"/>
          </w:tcPr>
          <w:p w14:paraId="0BAB53DE" w14:textId="77777777" w:rsidR="00851179" w:rsidRDefault="00851179" w:rsidP="00B54154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Capture interest and establish prior knowledge.</w:t>
            </w:r>
          </w:p>
        </w:tc>
      </w:tr>
      <w:tr w:rsidR="00851179" w14:paraId="23C8222B" w14:textId="77777777" w:rsidTr="00851179">
        <w:trPr>
          <w:trHeight w:val="2160"/>
        </w:trPr>
        <w:tc>
          <w:tcPr>
            <w:tcW w:w="3241" w:type="dxa"/>
            <w:tcBorders>
              <w:top w:val="dashed" w:sz="12" w:space="0" w:color="288AC3" w:themeColor="accent1"/>
              <w:left w:val="dashed" w:sz="12" w:space="0" w:color="288AC3" w:themeColor="accent1"/>
              <w:bottom w:val="dashed" w:sz="12" w:space="0" w:color="288AC3" w:themeColor="accent1"/>
              <w:right w:val="dashed" w:sz="12" w:space="0" w:color="288AC3" w:themeColor="accent1"/>
            </w:tcBorders>
            <w:shd w:val="clear" w:color="auto" w:fill="FFFFFF"/>
            <w:vAlign w:val="center"/>
          </w:tcPr>
          <w:p w14:paraId="60E6FA38" w14:textId="77777777" w:rsidR="00851179" w:rsidRDefault="00851179" w:rsidP="00B541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Students view (and even taste!) different objects (including various types of food/candy) and collaboratively brainstorm lists of descriptive adjectives and sensory details.</w:t>
            </w:r>
          </w:p>
        </w:tc>
        <w:tc>
          <w:tcPr>
            <w:tcW w:w="3242" w:type="dxa"/>
            <w:tcBorders>
              <w:top w:val="dashed" w:sz="12" w:space="0" w:color="288AC3" w:themeColor="accent1"/>
              <w:left w:val="dashed" w:sz="12" w:space="0" w:color="288AC3" w:themeColor="accent1"/>
              <w:bottom w:val="dashed" w:sz="12" w:space="0" w:color="288AC3" w:themeColor="accent1"/>
              <w:right w:val="dashed" w:sz="12" w:space="0" w:color="288AC3" w:themeColor="accent1"/>
            </w:tcBorders>
            <w:shd w:val="clear" w:color="auto" w:fill="FFFFFF"/>
            <w:vAlign w:val="center"/>
          </w:tcPr>
          <w:p w14:paraId="181A0DDD" w14:textId="77777777" w:rsidR="00851179" w:rsidRDefault="00851179" w:rsidP="00B54154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Explore</w:t>
            </w:r>
          </w:p>
        </w:tc>
        <w:tc>
          <w:tcPr>
            <w:tcW w:w="3242" w:type="dxa"/>
            <w:tcBorders>
              <w:top w:val="dashed" w:sz="12" w:space="0" w:color="288AC3" w:themeColor="accent1"/>
              <w:left w:val="dashed" w:sz="12" w:space="0" w:color="288AC3" w:themeColor="accent1"/>
              <w:bottom w:val="dashed" w:sz="12" w:space="0" w:color="288AC3" w:themeColor="accent1"/>
              <w:right w:val="dashed" w:sz="12" w:space="0" w:color="288AC3" w:themeColor="accent1"/>
            </w:tcBorders>
            <w:shd w:val="clear" w:color="auto" w:fill="FFFFFF"/>
            <w:vAlign w:val="center"/>
          </w:tcPr>
          <w:p w14:paraId="3A9290C1" w14:textId="77777777" w:rsidR="00851179" w:rsidRDefault="00851179" w:rsidP="00B54154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Construct knowledge through questioning and active engagement in a learning task.</w:t>
            </w:r>
          </w:p>
        </w:tc>
      </w:tr>
      <w:tr w:rsidR="00851179" w14:paraId="286C880D" w14:textId="77777777" w:rsidTr="00851179">
        <w:trPr>
          <w:trHeight w:val="2160"/>
        </w:trPr>
        <w:tc>
          <w:tcPr>
            <w:tcW w:w="3241" w:type="dxa"/>
            <w:tcBorders>
              <w:top w:val="dashed" w:sz="12" w:space="0" w:color="288AC3" w:themeColor="accent1"/>
              <w:left w:val="dashed" w:sz="12" w:space="0" w:color="288AC3" w:themeColor="accent1"/>
              <w:bottom w:val="dashed" w:sz="12" w:space="0" w:color="288AC3" w:themeColor="accent1"/>
              <w:right w:val="dashed" w:sz="12" w:space="0" w:color="288AC3" w:themeColor="accent1"/>
            </w:tcBorders>
            <w:shd w:val="clear" w:color="auto" w:fill="FFFFFF"/>
            <w:vAlign w:val="center"/>
          </w:tcPr>
          <w:p w14:paraId="4FD38E3B" w14:textId="77777777" w:rsidR="00851179" w:rsidRDefault="00851179" w:rsidP="00B541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Students discuss the usefulness of using descriptive words and sensory details in their writing, using both examples and non-examples as evidence to back up their ideas.</w:t>
            </w:r>
          </w:p>
        </w:tc>
        <w:tc>
          <w:tcPr>
            <w:tcW w:w="3242" w:type="dxa"/>
            <w:tcBorders>
              <w:top w:val="dashed" w:sz="12" w:space="0" w:color="288AC3" w:themeColor="accent1"/>
              <w:left w:val="dashed" w:sz="12" w:space="0" w:color="288AC3" w:themeColor="accent1"/>
              <w:bottom w:val="dashed" w:sz="12" w:space="0" w:color="288AC3" w:themeColor="accent1"/>
              <w:right w:val="dashed" w:sz="12" w:space="0" w:color="288AC3" w:themeColor="accent1"/>
            </w:tcBorders>
            <w:shd w:val="clear" w:color="auto" w:fill="FFFFFF"/>
            <w:vAlign w:val="center"/>
          </w:tcPr>
          <w:p w14:paraId="020459A2" w14:textId="77777777" w:rsidR="00851179" w:rsidRDefault="00851179" w:rsidP="00B54154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Explain</w:t>
            </w:r>
          </w:p>
        </w:tc>
        <w:tc>
          <w:tcPr>
            <w:tcW w:w="3242" w:type="dxa"/>
            <w:tcBorders>
              <w:top w:val="dashed" w:sz="12" w:space="0" w:color="288AC3" w:themeColor="accent1"/>
              <w:left w:val="dashed" w:sz="12" w:space="0" w:color="288AC3" w:themeColor="accent1"/>
              <w:bottom w:val="dashed" w:sz="12" w:space="0" w:color="288AC3" w:themeColor="accent1"/>
              <w:right w:val="dashed" w:sz="12" w:space="0" w:color="288AC3" w:themeColor="accent1"/>
            </w:tcBorders>
            <w:shd w:val="clear" w:color="auto" w:fill="FFFFFF"/>
            <w:vAlign w:val="center"/>
          </w:tcPr>
          <w:p w14:paraId="7BEF5A6A" w14:textId="77777777" w:rsidR="00851179" w:rsidRDefault="00851179" w:rsidP="00B54154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Interpret, clarify, and refine learning.</w:t>
            </w:r>
          </w:p>
        </w:tc>
      </w:tr>
      <w:tr w:rsidR="00851179" w14:paraId="6A314273" w14:textId="77777777" w:rsidTr="00851179">
        <w:trPr>
          <w:trHeight w:val="2160"/>
        </w:trPr>
        <w:tc>
          <w:tcPr>
            <w:tcW w:w="3241" w:type="dxa"/>
            <w:tcBorders>
              <w:top w:val="dashed" w:sz="12" w:space="0" w:color="288AC3" w:themeColor="accent1"/>
              <w:left w:val="dashed" w:sz="12" w:space="0" w:color="288AC3" w:themeColor="accent1"/>
              <w:bottom w:val="dashed" w:sz="12" w:space="0" w:color="288AC3" w:themeColor="accent1"/>
              <w:right w:val="dashed" w:sz="12" w:space="0" w:color="288AC3" w:themeColor="accent1"/>
            </w:tcBorders>
            <w:shd w:val="clear" w:color="auto" w:fill="FFFFFF"/>
            <w:vAlign w:val="center"/>
          </w:tcPr>
          <w:p w14:paraId="66AC28B9" w14:textId="77777777" w:rsidR="00851179" w:rsidRDefault="00851179" w:rsidP="00B541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Students write an original composition (poem, short story, etc.) integrating descriptive words and sensory details, first drafting their piece before a classmate peer reviews their work. </w:t>
            </w:r>
          </w:p>
        </w:tc>
        <w:tc>
          <w:tcPr>
            <w:tcW w:w="3242" w:type="dxa"/>
            <w:tcBorders>
              <w:top w:val="dashed" w:sz="12" w:space="0" w:color="288AC3" w:themeColor="accent1"/>
              <w:left w:val="dashed" w:sz="12" w:space="0" w:color="288AC3" w:themeColor="accent1"/>
              <w:bottom w:val="dashed" w:sz="12" w:space="0" w:color="288AC3" w:themeColor="accent1"/>
              <w:right w:val="dashed" w:sz="12" w:space="0" w:color="288AC3" w:themeColor="accent1"/>
            </w:tcBorders>
            <w:shd w:val="clear" w:color="auto" w:fill="FFFFFF"/>
            <w:vAlign w:val="center"/>
          </w:tcPr>
          <w:p w14:paraId="75A31E6A" w14:textId="77777777" w:rsidR="00851179" w:rsidRDefault="00851179" w:rsidP="00B54154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Extend</w:t>
            </w:r>
          </w:p>
        </w:tc>
        <w:tc>
          <w:tcPr>
            <w:tcW w:w="3242" w:type="dxa"/>
            <w:tcBorders>
              <w:top w:val="dashed" w:sz="12" w:space="0" w:color="288AC3" w:themeColor="accent1"/>
              <w:left w:val="dashed" w:sz="12" w:space="0" w:color="288AC3" w:themeColor="accent1"/>
              <w:bottom w:val="dashed" w:sz="12" w:space="0" w:color="288AC3" w:themeColor="accent1"/>
              <w:right w:val="dashed" w:sz="12" w:space="0" w:color="288AC3" w:themeColor="accent1"/>
            </w:tcBorders>
            <w:shd w:val="clear" w:color="auto" w:fill="FFFFFF"/>
            <w:vAlign w:val="center"/>
          </w:tcPr>
          <w:p w14:paraId="0DD2C737" w14:textId="77777777" w:rsidR="00851179" w:rsidRDefault="00851179" w:rsidP="00B54154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Apply and generalize learning.</w:t>
            </w:r>
          </w:p>
        </w:tc>
      </w:tr>
      <w:tr w:rsidR="00851179" w14:paraId="753FEA9B" w14:textId="77777777" w:rsidTr="00851179">
        <w:trPr>
          <w:trHeight w:val="2160"/>
        </w:trPr>
        <w:tc>
          <w:tcPr>
            <w:tcW w:w="3241" w:type="dxa"/>
            <w:tcBorders>
              <w:top w:val="dashed" w:sz="12" w:space="0" w:color="288AC3" w:themeColor="accent1"/>
              <w:left w:val="dashed" w:sz="12" w:space="0" w:color="288AC3" w:themeColor="accent1"/>
              <w:bottom w:val="dashed" w:sz="12" w:space="0" w:color="288AC3" w:themeColor="accent1"/>
              <w:right w:val="dashed" w:sz="12" w:space="0" w:color="288AC3" w:themeColor="accent1"/>
            </w:tcBorders>
            <w:shd w:val="clear" w:color="auto" w:fill="FFFFFF"/>
            <w:vAlign w:val="center"/>
          </w:tcPr>
          <w:p w14:paraId="7ECF1BD3" w14:textId="77777777" w:rsidR="00851179" w:rsidRDefault="00851179" w:rsidP="00B541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Students share their compositions with the class and volunteers pick out instances of descriptive words and sensory details each writer used. Students engage in a self and peer evaluation concerning their use of descriptive words and sensory details.</w:t>
            </w:r>
          </w:p>
        </w:tc>
        <w:tc>
          <w:tcPr>
            <w:tcW w:w="3242" w:type="dxa"/>
            <w:tcBorders>
              <w:top w:val="dashed" w:sz="12" w:space="0" w:color="288AC3" w:themeColor="accent1"/>
              <w:left w:val="dashed" w:sz="12" w:space="0" w:color="288AC3" w:themeColor="accent1"/>
              <w:bottom w:val="dashed" w:sz="12" w:space="0" w:color="288AC3" w:themeColor="accent1"/>
              <w:right w:val="dashed" w:sz="12" w:space="0" w:color="288AC3" w:themeColor="accent1"/>
            </w:tcBorders>
            <w:shd w:val="clear" w:color="auto" w:fill="FFFFFF"/>
            <w:vAlign w:val="center"/>
          </w:tcPr>
          <w:p w14:paraId="6A6B7CFD" w14:textId="77777777" w:rsidR="00851179" w:rsidRDefault="00851179" w:rsidP="00B54154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Evaluate</w:t>
            </w:r>
          </w:p>
        </w:tc>
        <w:tc>
          <w:tcPr>
            <w:tcW w:w="3242" w:type="dxa"/>
            <w:tcBorders>
              <w:top w:val="dashed" w:sz="12" w:space="0" w:color="288AC3" w:themeColor="accent1"/>
              <w:left w:val="dashed" w:sz="12" w:space="0" w:color="288AC3" w:themeColor="accent1"/>
              <w:bottom w:val="dashed" w:sz="12" w:space="0" w:color="288AC3" w:themeColor="accent1"/>
              <w:right w:val="dashed" w:sz="12" w:space="0" w:color="288AC3" w:themeColor="accent1"/>
            </w:tcBorders>
            <w:shd w:val="clear" w:color="auto" w:fill="FFFFFF"/>
            <w:vAlign w:val="center"/>
          </w:tcPr>
          <w:p w14:paraId="38A6E22F" w14:textId="77777777" w:rsidR="00851179" w:rsidRDefault="00851179" w:rsidP="00B54154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Assess learning.</w:t>
            </w:r>
          </w:p>
        </w:tc>
      </w:tr>
    </w:tbl>
    <w:p w14:paraId="792BF3E4" w14:textId="77777777" w:rsidR="001B5BA6" w:rsidRPr="00851179" w:rsidRDefault="001B5BA6" w:rsidP="00851179"/>
    <w:sectPr w:rsidR="001B5BA6" w:rsidRPr="00851179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03377" w14:textId="77777777" w:rsidR="00C73D78" w:rsidRDefault="00C73D78" w:rsidP="00DC1CA0">
      <w:r>
        <w:separator/>
      </w:r>
    </w:p>
  </w:endnote>
  <w:endnote w:type="continuationSeparator" w:id="0">
    <w:p w14:paraId="4A8A0D85" w14:textId="77777777" w:rsidR="00C73D78" w:rsidRDefault="00C73D78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E051D" w14:textId="77777777" w:rsidR="00DC1CA0" w:rsidRPr="00304DC6" w:rsidRDefault="008F712F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0F1EA23C" wp14:editId="25428787">
              <wp:simplePos x="0" y="0"/>
              <wp:positionH relativeFrom="column">
                <wp:posOffset>1341450</wp:posOffset>
              </wp:positionH>
              <wp:positionV relativeFrom="paragraph">
                <wp:posOffset>-240665</wp:posOffset>
              </wp:positionV>
              <wp:extent cx="3735294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5646126" w14:textId="57A9BBAB" w:rsidR="009F0B2E" w:rsidRPr="008C5074" w:rsidRDefault="00851179" w:rsidP="008C5074">
                          <w:pPr>
                            <w:pStyle w:val="Footer"/>
                          </w:pPr>
                          <w:r>
                            <w:t>creating 5e lessons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F1EA23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5.65pt;margin-top:-18.95pt;width:294.1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" filled="f" stroked="f" strokeweight=".5pt">
              <v:textbox style="mso-fit-shape-to-text:t">
                <w:txbxContent>
                  <w:p w14:paraId="35646126" w14:textId="57A9BBAB" w:rsidR="009F0B2E" w:rsidRPr="008C5074" w:rsidRDefault="00851179" w:rsidP="008C5074">
                    <w:pPr>
                      <w:pStyle w:val="Footer"/>
                    </w:pPr>
                    <w:r>
                      <w:t>creating 5e lessons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5" behindDoc="1" locked="0" layoutInCell="1" allowOverlap="1" wp14:anchorId="04561492" wp14:editId="755FE64C">
          <wp:simplePos x="0" y="0"/>
          <wp:positionH relativeFrom="column">
            <wp:posOffset>1243584</wp:posOffset>
          </wp:positionH>
          <wp:positionV relativeFrom="paragraph">
            <wp:posOffset>-193853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389B9" w14:textId="77777777" w:rsidR="00C73D78" w:rsidRDefault="00C73D78" w:rsidP="00DC1CA0">
      <w:r>
        <w:separator/>
      </w:r>
    </w:p>
  </w:footnote>
  <w:footnote w:type="continuationSeparator" w:id="0">
    <w:p w14:paraId="51CA01DB" w14:textId="77777777" w:rsidR="00C73D78" w:rsidRDefault="00C73D78" w:rsidP="00DC1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179"/>
    <w:rsid w:val="00072D23"/>
    <w:rsid w:val="000C7623"/>
    <w:rsid w:val="001B5BA6"/>
    <w:rsid w:val="001C5AFC"/>
    <w:rsid w:val="002040D8"/>
    <w:rsid w:val="00233158"/>
    <w:rsid w:val="00245200"/>
    <w:rsid w:val="00246BC1"/>
    <w:rsid w:val="00274BB5"/>
    <w:rsid w:val="002D4C34"/>
    <w:rsid w:val="00304DC6"/>
    <w:rsid w:val="00403889"/>
    <w:rsid w:val="00463853"/>
    <w:rsid w:val="00480109"/>
    <w:rsid w:val="004806AD"/>
    <w:rsid w:val="004856EB"/>
    <w:rsid w:val="004C2D48"/>
    <w:rsid w:val="004D0B87"/>
    <w:rsid w:val="005345DE"/>
    <w:rsid w:val="005B2598"/>
    <w:rsid w:val="005B4511"/>
    <w:rsid w:val="005E3EB2"/>
    <w:rsid w:val="00644B47"/>
    <w:rsid w:val="006C5B24"/>
    <w:rsid w:val="006E2654"/>
    <w:rsid w:val="006F637F"/>
    <w:rsid w:val="00782F44"/>
    <w:rsid w:val="007A5710"/>
    <w:rsid w:val="00802DB0"/>
    <w:rsid w:val="00851179"/>
    <w:rsid w:val="008C5074"/>
    <w:rsid w:val="008E31E6"/>
    <w:rsid w:val="008F712F"/>
    <w:rsid w:val="009112D3"/>
    <w:rsid w:val="00914680"/>
    <w:rsid w:val="00976B6A"/>
    <w:rsid w:val="00977E3D"/>
    <w:rsid w:val="009A7873"/>
    <w:rsid w:val="009F0B2E"/>
    <w:rsid w:val="00A1673F"/>
    <w:rsid w:val="00A77EC7"/>
    <w:rsid w:val="00AF213D"/>
    <w:rsid w:val="00BD7B9F"/>
    <w:rsid w:val="00BF08CE"/>
    <w:rsid w:val="00C73D78"/>
    <w:rsid w:val="00C83603"/>
    <w:rsid w:val="00CD2461"/>
    <w:rsid w:val="00CE2E34"/>
    <w:rsid w:val="00CF4EFB"/>
    <w:rsid w:val="00D72955"/>
    <w:rsid w:val="00D760BA"/>
    <w:rsid w:val="00DC1CA0"/>
    <w:rsid w:val="00DE0B48"/>
    <w:rsid w:val="00E26CEB"/>
    <w:rsid w:val="00E326C3"/>
    <w:rsid w:val="00E45663"/>
    <w:rsid w:val="00E46C11"/>
    <w:rsid w:val="00E76FF3"/>
    <w:rsid w:val="00EA2AF9"/>
    <w:rsid w:val="00EB6E7A"/>
    <w:rsid w:val="00ED5A89"/>
    <w:rsid w:val="00F10244"/>
    <w:rsid w:val="00F80B5C"/>
    <w:rsid w:val="00F8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2F95D8"/>
  <w15:chartTrackingRefBased/>
  <w15:docId w15:val="{2F75051F-3D1E-4137-9FF5-249CB1A33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851179"/>
    <w:pPr>
      <w:spacing w:after="120" w:line="276" w:lineRule="auto"/>
    </w:pPr>
    <w:rPr>
      <w:rFonts w:ascii="Calibri" w:eastAsia="Calibri" w:hAnsi="Calibri" w:cs="Calibri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6CEB"/>
    <w:pPr>
      <w:spacing w:before="200" w:line="240" w:lineRule="auto"/>
      <w:outlineLvl w:val="0"/>
    </w:pPr>
    <w:rPr>
      <w:rFonts w:asciiTheme="minorHAnsi" w:eastAsia="Times New Roman" w:hAnsiTheme="minorHAnsi" w:cstheme="minorBidi"/>
      <w:b/>
      <w:bCs/>
      <w:color w:val="971D20" w:themeColor="accent3"/>
      <w:kern w:val="36"/>
      <w:shd w:val="clear" w:color="auto" w:fill="FFFFFF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6CEB"/>
    <w:pPr>
      <w:spacing w:after="160" w:line="278" w:lineRule="auto"/>
      <w:outlineLvl w:val="1"/>
    </w:pPr>
    <w:rPr>
      <w:rFonts w:asciiTheme="minorHAnsi" w:eastAsiaTheme="minorHAnsi" w:hAnsiTheme="minorHAnsi" w:cstheme="minorBidi"/>
      <w:i/>
      <w:iCs/>
      <w:color w:val="971D20" w:themeColor="accent3"/>
      <w:kern w:val="2"/>
      <w14:ligatures w14:val="standardContextual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E26CEB"/>
    <w:pPr>
      <w:spacing w:after="160" w:line="278" w:lineRule="auto"/>
      <w:outlineLvl w:val="2"/>
    </w:pPr>
    <w:rPr>
      <w:rFonts w:asciiTheme="minorHAnsi" w:eastAsiaTheme="minorHAnsi" w:hAnsiTheme="minorHAnsi" w:cstheme="minorBidi"/>
      <w:i/>
      <w:iCs/>
      <w:kern w:val="2"/>
      <w:sz w:val="18"/>
      <w:szCs w:val="18"/>
      <w14:ligatures w14:val="standardContextual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E26CEB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6CE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1E6792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6CEB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6CEB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6CEB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6CEB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6CEB"/>
    <w:rPr>
      <w:rFonts w:ascii="Calibri" w:eastAsia="Times New Roman" w:hAnsi="Calibri" w:cs="Calibri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E26CEB"/>
    <w:rPr>
      <w:rFonts w:ascii="Calibri" w:hAnsi="Calibri" w:cs="Calibri"/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E26CEB"/>
    <w:rPr>
      <w:rFonts w:ascii="Calibri" w:hAnsi="Calibri" w:cs="Calibri"/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E26CEB"/>
    <w:rPr>
      <w:rFonts w:ascii="Calibri" w:hAnsi="Calibri" w:cs="Calibri"/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6CEB"/>
    <w:rPr>
      <w:rFonts w:ascii="Calibri" w:eastAsiaTheme="majorEastAsia" w:hAnsi="Calibri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6CEB"/>
    <w:rPr>
      <w:rFonts w:ascii="Calibri" w:eastAsiaTheme="majorEastAsia" w:hAnsi="Calibr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6CEB"/>
    <w:rPr>
      <w:rFonts w:ascii="Calibri" w:eastAsiaTheme="majorEastAsia" w:hAnsi="Calibr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6CEB"/>
    <w:rPr>
      <w:rFonts w:ascii="Calibri" w:eastAsiaTheme="majorEastAsia" w:hAnsi="Calibr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6CEB"/>
    <w:rPr>
      <w:rFonts w:ascii="Calibri" w:eastAsiaTheme="majorEastAsia" w:hAnsi="Calibri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E26CEB"/>
    <w:pPr>
      <w:spacing w:after="160" w:line="278" w:lineRule="auto"/>
    </w:pPr>
    <w:rPr>
      <w:rFonts w:asciiTheme="minorHAnsi" w:eastAsiaTheme="minorHAnsi" w:hAnsiTheme="minorHAnsi" w:cstheme="minorBidi"/>
      <w:b/>
      <w:bCs/>
      <w:caps/>
      <w:kern w:val="2"/>
      <w:sz w:val="32"/>
      <w:szCs w:val="32"/>
      <w14:ligatures w14:val="standardContextual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E26CEB"/>
    <w:rPr>
      <w:rFonts w:ascii="Calibri" w:hAnsi="Calibri" w:cs="Calibri"/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E26CEB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26CEB"/>
    <w:pPr>
      <w:tabs>
        <w:tab w:val="left" w:pos="934"/>
      </w:tabs>
      <w:spacing w:after="0" w:line="240" w:lineRule="auto"/>
      <w:jc w:val="right"/>
      <w:outlineLvl w:val="3"/>
    </w:pPr>
    <w:rPr>
      <w:rFonts w:asciiTheme="minorHAnsi" w:eastAsiaTheme="minorHAnsi" w:hAnsiTheme="minorHAnsi" w:cstheme="minorBidi"/>
      <w:b/>
      <w:bCs/>
      <w:caps/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E26CEB"/>
    <w:rPr>
      <w:rFonts w:ascii="Calibri" w:hAnsi="Calibri" w:cs="Calibri"/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E26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BlockQuote">
    <w:name w:val="Block Quote"/>
    <w:basedOn w:val="Normal"/>
    <w:qFormat/>
    <w:rsid w:val="00E26CEB"/>
    <w:pPr>
      <w:spacing w:after="160" w:line="278" w:lineRule="auto"/>
      <w:ind w:left="720"/>
    </w:pPr>
    <w:rPr>
      <w:rFonts w:asciiTheme="minorHAnsi" w:eastAsiaTheme="minorHAnsi" w:hAnsiTheme="minorHAnsi" w:cstheme="minorBidi"/>
      <w:i/>
      <w:kern w:val="2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E26CEB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6CE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26CEB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E26CEB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E26CE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paragraph" w:customStyle="1" w:styleId="AnswerKey">
    <w:name w:val="Answer Key"/>
    <w:basedOn w:val="Normal"/>
    <w:qFormat/>
    <w:rsid w:val="00E26CEB"/>
    <w:pPr>
      <w:spacing w:after="160" w:line="278" w:lineRule="auto"/>
    </w:pPr>
    <w:rPr>
      <w:rFonts w:asciiTheme="minorHAnsi" w:eastAsiaTheme="minorHAnsi" w:hAnsiTheme="minorHAnsi" w:cstheme="minorBidi"/>
      <w:color w:val="D30F7F" w:themeColor="accent5"/>
      <w:kern w:val="2"/>
      <w14:ligatures w14:val="standardContextual"/>
    </w:rPr>
  </w:style>
  <w:style w:type="paragraph" w:styleId="BodyText">
    <w:name w:val="Body Text"/>
    <w:basedOn w:val="Normal"/>
    <w:link w:val="BodyTextChar"/>
    <w:uiPriority w:val="99"/>
    <w:semiHidden/>
    <w:unhideWhenUsed/>
    <w:rsid w:val="00851179"/>
  </w:style>
  <w:style w:type="character" w:customStyle="1" w:styleId="BodyTextChar">
    <w:name w:val="Body Text Char"/>
    <w:basedOn w:val="DefaultParagraphFont"/>
    <w:link w:val="BodyText"/>
    <w:uiPriority w:val="99"/>
    <w:semiHidden/>
    <w:rsid w:val="00851179"/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eu0002\Documents\Custom%20Office%20Templates\LEARN%20Vertical%20Template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LEARN Vertical Template</Template>
  <TotalTime>2</TotalTime>
  <Pages>1</Pages>
  <Words>179</Words>
  <Characters>1058</Characters>
  <Application>Microsoft Office Word</Application>
  <DocSecurity>0</DocSecurity>
  <Lines>50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Vertical Template</vt:lpstr>
    </vt:vector>
  </TitlesOfParts>
  <Manager/>
  <Company/>
  <LinksUpToDate>false</LinksUpToDate>
  <CharactersWithSpaces>1219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Creating 5E Lessons</dc:title>
  <dc:subject/>
  <dc:creator>k20center@ou.edu</dc:creator>
  <cp:keywords/>
  <dc:description/>
  <cp:lastModifiedBy>Lieu, Mary</cp:lastModifiedBy>
  <cp:revision>1</cp:revision>
  <dcterms:created xsi:type="dcterms:W3CDTF">2026-04-16T19:01:00Z</dcterms:created>
  <dcterms:modified xsi:type="dcterms:W3CDTF">2026-04-16T19:03:00Z</dcterms:modified>
  <cp:category/>
</cp:coreProperties>
</file>